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90cc" w14:textId="ee19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желтоқсандағы № 544 бұйрығы. Қазақстан Республикасының Әділет министрлігінде 2018 жылғы 29 желтоқсанда № 18101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15846 болып тіркелген, 2017 жылғы 4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3"/>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Мемлекеттік корпорацияға және көрсетілетін қызметті берушіге бір данада мыналарды ұсынады:</w:t>
      </w:r>
    </w:p>
    <w:bookmarkEnd w:id="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бүлінген жерлерді қалпына келтіру жобасын келісуге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 қажет етіледі);</w:t>
      </w:r>
    </w:p>
    <w:p>
      <w:pPr>
        <w:spacing w:after="0"/>
        <w:ind w:left="0"/>
        <w:jc w:val="both"/>
      </w:pPr>
      <w:r>
        <w:rPr>
          <w:rFonts w:ascii="Times New Roman"/>
          <w:b w:val="false"/>
          <w:i w:val="false"/>
          <w:color w:val="000000"/>
          <w:sz w:val="28"/>
        </w:rPr>
        <w:t>
      3) бүлінген жерлерді қалпына келтіру жобасы.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өтініштің қабылданған күні мен уақыты, құжаттарды қабылдаған адамның аты-жөні мен тегі, мемлекеттік қызметті көрсету нәтижесін алу мерзімі мен орны көрсетілген талон беріледі;</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өтініштің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(не оның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2-қосымшаға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5"/>
    <w:p>
      <w:pPr>
        <w:spacing w:after="0"/>
        <w:ind w:left="0"/>
        <w:jc w:val="both"/>
      </w:pPr>
      <w:r>
        <w:rPr>
          <w:rFonts w:ascii="Times New Roman"/>
          <w:b w:val="false"/>
          <w:i w:val="false"/>
          <w:color w:val="000000"/>
          <w:sz w:val="28"/>
        </w:rPr>
        <w:t>
      1) Министрліктің www.moa.gov.kz интернет-ресурсында;</w:t>
      </w:r>
    </w:p>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Start w:name="z10" w:id="6"/>
    <w:p>
      <w:pPr>
        <w:spacing w:after="0"/>
        <w:ind w:left="0"/>
        <w:jc w:val="both"/>
      </w:pPr>
      <w:r>
        <w:rPr>
          <w:rFonts w:ascii="Times New Roman"/>
          <w:b w:val="false"/>
          <w:i w:val="false"/>
          <w:color w:val="000000"/>
          <w:sz w:val="28"/>
        </w:rPr>
        <w:t xml:space="preserve">
      көрсетілген бұйрықпен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Мемлекеттік корпорацияға бір данада мыналарды ұсынады:</w:t>
      </w:r>
    </w:p>
    <w:bookmarkEnd w:id="8"/>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жер учаскеcінің бөлінетіндігі мен бөлінбейтіндігін айқындауға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3) жер учаскесіне арналған сәйкестендіру құжатының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өтініштің қабылданғаны туралы қолхат беріледі.</w:t>
      </w:r>
    </w:p>
    <w:p>
      <w:pPr>
        <w:spacing w:after="0"/>
        <w:ind w:left="0"/>
        <w:jc w:val="both"/>
      </w:pPr>
      <w:r>
        <w:rPr>
          <w:rFonts w:ascii="Times New Roman"/>
          <w:b w:val="false"/>
          <w:i w:val="false"/>
          <w:color w:val="000000"/>
          <w:sz w:val="28"/>
        </w:rPr>
        <w:t>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2-қосымшаға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9"/>
    <w:p>
      <w:pPr>
        <w:spacing w:after="0"/>
        <w:ind w:left="0"/>
        <w:jc w:val="both"/>
      </w:pPr>
      <w:r>
        <w:rPr>
          <w:rFonts w:ascii="Times New Roman"/>
          <w:b w:val="false"/>
          <w:i w:val="false"/>
          <w:color w:val="000000"/>
          <w:sz w:val="28"/>
        </w:rPr>
        <w:t>
      1) Министрліктің www.moa.gov.kz интернет-ресурсында;</w:t>
      </w:r>
    </w:p>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Start w:name="z17"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20" w:id="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3"/>
    <w:bookmarkStart w:name="z21" w:id="14"/>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14"/>
    <w:bookmarkStart w:name="z22" w:id="15"/>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