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9520" w14:textId="16e9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қызметтi жүзеге асыруға қажеттi бағдарламалық-техникалық құралдар мен өзге жабдықтарға қойылатын талаптарды бекіту туралы" Қазақстан Республикасы Ұлттық Банкі Басқармасының 2012 жылғы 28 сәуірдегі № 165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261 қаулысы. Қазақстан Республикасының Әділет министрлігінде 2018 жылғы 20 желтоқсанда № 17980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ескетпесі!</w:t>
      </w:r>
      <w:r>
        <w:br/>
      </w:r>
      <w:r>
        <w:rPr>
          <w:rFonts w:ascii="Times New Roman"/>
          <w:b w:val="false"/>
          <w:i w:val="false"/>
          <w:color w:val="000000"/>
          <w:sz w:val="28"/>
        </w:rPr>
        <w:t>
</w:t>
      </w:r>
      <w:r>
        <w:rPr>
          <w:rFonts w:ascii="Times New Roman"/>
          <w:b w:val="false"/>
          <w:i w:val="false"/>
          <w:color w:val="ff0000"/>
          <w:sz w:val="28"/>
        </w:rPr>
        <w:t>      Осы қаулы 01.01.2019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"Бағалы қағаздар нарығында қызметті жүзеге асыруға қажетті бағдарламалық-техникалық құралдар мен өзге жабдықтарға қойылатын талаптарды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болып тіркелген, 2012 жылғы 29 тамызда "Егемен Қазақстан" газетінде № 562-569 (27642)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 мен өзге жабдықтарға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Бағдарламалық қамтамасыз ету:</w:t>
      </w:r>
    </w:p>
    <w:bookmarkEnd w:id="3"/>
    <w:p>
      <w:pPr>
        <w:spacing w:after="0"/>
        <w:ind w:left="0"/>
        <w:jc w:val="both"/>
      </w:pPr>
      <w:r>
        <w:rPr>
          <w:rFonts w:ascii="Times New Roman"/>
          <w:b w:val="false"/>
          <w:i w:val="false"/>
          <w:color w:val="000000"/>
          <w:sz w:val="28"/>
        </w:rPr>
        <w:t>
      1) кез келген уақытта жабдықтың кез келген учаскесінде электр қореккөзі толық немесе ішінара ажыратылған кезде ақпараттың сенімді сақталуын, санкцияланбаған қол жеткізуден қорғауды, дерекқорларының тұтастығын және электрондық мұрағаттар мен дерекқорлардағы ақпараттың сенімді сақталуын;</w:t>
      </w:r>
    </w:p>
    <w:p>
      <w:pPr>
        <w:spacing w:after="0"/>
        <w:ind w:left="0"/>
        <w:jc w:val="both"/>
      </w:pPr>
      <w:r>
        <w:rPr>
          <w:rFonts w:ascii="Times New Roman"/>
          <w:b w:val="false"/>
          <w:i w:val="false"/>
          <w:color w:val="000000"/>
          <w:sz w:val="28"/>
        </w:rPr>
        <w:t>
      2) ең кем дегенде қол жеткізудің екі деңгейін: әкімшіні және пайдаланушының көздейтін бағдарламалық қамтамасыз етуде іске асырылған кіру деректеріне, функцияларға, операцияларға, есептерге көп деңгейлі қол жеткізуді;</w:t>
      </w:r>
    </w:p>
    <w:p>
      <w:pPr>
        <w:spacing w:after="0"/>
        <w:ind w:left="0"/>
        <w:jc w:val="both"/>
      </w:pPr>
      <w:r>
        <w:rPr>
          <w:rFonts w:ascii="Times New Roman"/>
          <w:b w:val="false"/>
          <w:i w:val="false"/>
          <w:color w:val="000000"/>
          <w:sz w:val="28"/>
        </w:rPr>
        <w:t>
      3)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толығымен толтырмай орындаған жағдайда, бағдарлама тиісті хабарламаны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өлшемдер бойынша ақпарат іздеуді, сондай-ақ кез келген өлшемдер (осы ақпараттық жүйе үшін айқындалған) бойынша ақпаратты сұрыптауды және егер осындай ақпарат ақпараттық жүйеде сақталуға тиіс болса, өткен күндердегі ақпаратты қарау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қаржы нарығын және қаржы ұйымдарын реттеу, бақылау мен қадағалау жөніндегі уәкілетті органның (бұдан әрі – уәкілетті орган) нормативтік-құқықтық актілерінде белгіленген есептердің, сондай-ақ жеке шоттан үзінді-көшірмелердің,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Қазақстан Республикасының бағалы қағаздар рыногы туралы заңнамасында көзделген бағалы қағаздар нарығының кәсіби қатысушыларының ішкі есепке алу жүйесінің журналдарын жүргізуді және автоматты қалыптастыруды қамтамасыз етеді. Бағдарламалық қамтамасыз ету журналды толық, сондай-ақ ішінара (күндердің аталған диапазонына, белгілі бір күніне, нақты тіркелген тұлғаға, келіп түсетін құжаттың нақты мәртебесіне) қалыптастырады;</w:t>
      </w:r>
    </w:p>
    <w:p>
      <w:pPr>
        <w:spacing w:after="0"/>
        <w:ind w:left="0"/>
        <w:jc w:val="both"/>
      </w:pPr>
      <w:r>
        <w:rPr>
          <w:rFonts w:ascii="Times New Roman"/>
          <w:b w:val="false"/>
          <w:i w:val="false"/>
          <w:color w:val="000000"/>
          <w:sz w:val="28"/>
        </w:rPr>
        <w:t>
      8) бағалы қағаздар нарығына кәсіби қатысушыларды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жіберілетін құжаттарды экранға, принтерге немесе файлға шығару мүмкіндігін;</w:t>
      </w:r>
    </w:p>
    <w:p>
      <w:pPr>
        <w:spacing w:after="0"/>
        <w:ind w:left="0"/>
        <w:jc w:val="both"/>
      </w:pPr>
      <w:r>
        <w:rPr>
          <w:rFonts w:ascii="Times New Roman"/>
          <w:b w:val="false"/>
          <w:i w:val="false"/>
          <w:color w:val="000000"/>
          <w:sz w:val="28"/>
        </w:rPr>
        <w:t>
      10) осы ақпаратты енгізуде (қаржы құралдарын сатып алуға және сатуға өтінімдерді қор биржасының сауда жүйесіне енгізуді және орталық депозитарийдің бағдарламалық қамтамасыз етуі арқылы орталық депозитарийі клиенттерінің бұйрықтарды енгізуін қоспағанда) қателерді болдырмау мақсатында түрлі пайдаланушылардың бұйрықтарды екі рет енгізу жүйесін ("бірінші енгізу" және "екінші енгізу") немесе түрлі пайдаланушылардың бұйрықтарды енгізуді растау жүйесін (валидация немесе верификация) қолдануды қамтамасыз етеді.</w:t>
      </w:r>
    </w:p>
    <w:p>
      <w:pPr>
        <w:spacing w:after="0"/>
        <w:ind w:left="0"/>
        <w:jc w:val="both"/>
      </w:pPr>
      <w:r>
        <w:rPr>
          <w:rFonts w:ascii="Times New Roman"/>
          <w:b w:val="false"/>
          <w:i w:val="false"/>
          <w:color w:val="000000"/>
          <w:sz w:val="28"/>
        </w:rPr>
        <w:t>
      Ақпаратты енгізу кезінде "екінші енгізуді" пайдаланушылар "бірінші енгізудің" пайдаланушылары енгізген ақпаратқа қол жеткізе алмайды. "Екінші енгізудің" деректері "бірінші енгізудің" деректеріне сәйкес келмеген жағдайда, бағдарлама тиісті хабарламаны көрсетеді.</w:t>
      </w:r>
    </w:p>
    <w:p>
      <w:pPr>
        <w:spacing w:after="0"/>
        <w:ind w:left="0"/>
        <w:jc w:val="both"/>
      </w:pPr>
      <w:r>
        <w:rPr>
          <w:rFonts w:ascii="Times New Roman"/>
          <w:b w:val="false"/>
          <w:i w:val="false"/>
          <w:color w:val="000000"/>
          <w:sz w:val="28"/>
        </w:rPr>
        <w:t>
      Түрлі пайдаланушылардың бұйрықтарды енгізуін растау жүйесін (валидация немесе верификация) пайдалану кезінде бірінші пайдаланушы енгізген ақпаратты екінші пайдаланушы растайды.</w:t>
      </w:r>
    </w:p>
    <w:p>
      <w:pPr>
        <w:spacing w:after="0"/>
        <w:ind w:left="0"/>
        <w:jc w:val="both"/>
      </w:pPr>
      <w:r>
        <w:rPr>
          <w:rFonts w:ascii="Times New Roman"/>
          <w:b w:val="false"/>
          <w:i w:val="false"/>
          <w:color w:val="000000"/>
          <w:sz w:val="28"/>
        </w:rPr>
        <w:t>
      Пайдаланылатын тәсіл (екі рет енгізу, валидация немесе верификация) және көрсетілген тәсілдерді қолдана отырып енгізілуге тиіс бұйрықтар тізбесі бағалы қағаздар нарығының кәсіби қатысушысының ішкі құжаттарында айқындалады;</w:t>
      </w:r>
    </w:p>
    <w:p>
      <w:pPr>
        <w:spacing w:after="0"/>
        <w:ind w:left="0"/>
        <w:jc w:val="both"/>
      </w:pPr>
      <w:r>
        <w:rPr>
          <w:rFonts w:ascii="Times New Roman"/>
          <w:b w:val="false"/>
          <w:i w:val="false"/>
          <w:color w:val="000000"/>
          <w:sz w:val="28"/>
        </w:rPr>
        <w:t>
      11) электрондық құжаттармен алмасу мүмкіндігін;</w:t>
      </w:r>
    </w:p>
    <w:p>
      <w:pPr>
        <w:spacing w:after="0"/>
        <w:ind w:left="0"/>
        <w:jc w:val="both"/>
      </w:pPr>
      <w:r>
        <w:rPr>
          <w:rFonts w:ascii="Times New Roman"/>
          <w:b w:val="false"/>
          <w:i w:val="false"/>
          <w:color w:val="000000"/>
          <w:sz w:val="28"/>
        </w:rPr>
        <w:t>
      12) бағдарламалық қамтамасыз етуде іркіліс басталған кезде қызметін 2 (екі) сағат ішінде қалпына келтіруді;</w:t>
      </w:r>
    </w:p>
    <w:p>
      <w:pPr>
        <w:spacing w:after="0"/>
        <w:ind w:left="0"/>
        <w:jc w:val="both"/>
      </w:pPr>
      <w:r>
        <w:rPr>
          <w:rFonts w:ascii="Times New Roman"/>
          <w:b w:val="false"/>
          <w:i w:val="false"/>
          <w:color w:val="000000"/>
          <w:sz w:val="28"/>
        </w:rPr>
        <w:t>
      13) мына атрибуттарды сақтай отырып, ақпараттық жүйеде болып жатқан оқиғаларды тіркеуді және сәйкестендіруді қамтамасыз етеді: оқиғаның басталған күні және уақыты, оқиғаның атауы, іс-әрекет жасаған пайдаланушы, жазбаны сәйкестендіруші, оқиғаның аяқталған күні мен уақыты, оқиғаны орындау нәтижесі.";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бірінші абзац мынадай редакцияда жазылсын:</w:t>
      </w:r>
    </w:p>
    <w:bookmarkEnd w:id="4"/>
    <w:bookmarkStart w:name="z8" w:id="5"/>
    <w:p>
      <w:pPr>
        <w:spacing w:after="0"/>
        <w:ind w:left="0"/>
        <w:jc w:val="both"/>
      </w:pPr>
      <w:r>
        <w:rPr>
          <w:rFonts w:ascii="Times New Roman"/>
          <w:b w:val="false"/>
          <w:i w:val="false"/>
          <w:color w:val="000000"/>
          <w:sz w:val="28"/>
        </w:rPr>
        <w:t xml:space="preserve">
      "2. Уәкілетті органның тиісті лицензиясы негізінде не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Бағалы қағаздар рыногы туралы заң)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үшін Талаптардың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қоса бағдарламалық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он үшінші абзацы мынадай редакцияда жазылсын:</w:t>
      </w:r>
    </w:p>
    <w:bookmarkStart w:name="z10" w:id="6"/>
    <w:p>
      <w:pPr>
        <w:spacing w:after="0"/>
        <w:ind w:left="0"/>
        <w:jc w:val="both"/>
      </w:pPr>
      <w:r>
        <w:rPr>
          <w:rFonts w:ascii="Times New Roman"/>
          <w:b w:val="false"/>
          <w:i w:val="false"/>
          <w:color w:val="000000"/>
          <w:sz w:val="28"/>
        </w:rPr>
        <w:t>
      "белгілі күнгі және уақыттағы жеке шоттан (қосалқы шоттан) үзінді-көшірмелерді, жүргізілген операциялар туралы есептерді және бағалы қағаздарды ұстаушылардың, орталық депозитарийдің, эмитенттердің және уәкілетті органның сұратулары бойынша есептерді жасауды және беруді;";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"2) тіркелген тұлғаның тегі, аты, әкесінің аты (ол болса) немесе толық атауы өзгерген кезде өзгеретін деректердің сақталуын және бұрынғы деректер бойынша тіркелген тұлғаны іздеуді;";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эмиссиялық бағалы қағаздармен операцияларды тіркеу процесінде орталық депозитарийдің бағдарламалық қамтамасыз етуімен өзара әрекеттесуін қамтамасыз етеді.";</w:t>
      </w:r>
    </w:p>
    <w:bookmarkEnd w:id="8"/>
    <w:bookmarkStart w:name="z15" w:id="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"2) мына ақпаратты қоса алғанда, бірақ олармен шектелмей, клиент активтерін, оның шоттары бойынша барлық операцияларды дербес есепке алуды, шоттар бойынша операциялардың тарихын талдау мүмкіндігін, оның ішінде кез келген күнгі және операциялық күн ішіндегі уақыттағы жағдай бойынша ақша қалдықтары туралы, сондай-ақ әрбір клиент және клиенттің ақшасын есепке алуды және сақтауды жүзеге асыратын ұйым бойынша ақша қозғалысы туралы мәліметтерді автоматтандырылған түрде қалыптастыруды:</w:t>
      </w:r>
    </w:p>
    <w:bookmarkEnd w:id="10"/>
    <w:p>
      <w:pPr>
        <w:spacing w:after="0"/>
        <w:ind w:left="0"/>
        <w:jc w:val="both"/>
      </w:pPr>
      <w:r>
        <w:rPr>
          <w:rFonts w:ascii="Times New Roman"/>
          <w:b w:val="false"/>
          <w:i w:val="false"/>
          <w:color w:val="000000"/>
          <w:sz w:val="28"/>
        </w:rPr>
        <w:t>
      ақшамен операция жүргізу күні мен уақыты;</w:t>
      </w:r>
    </w:p>
    <w:p>
      <w:pPr>
        <w:spacing w:after="0"/>
        <w:ind w:left="0"/>
        <w:jc w:val="both"/>
      </w:pPr>
      <w:r>
        <w:rPr>
          <w:rFonts w:ascii="Times New Roman"/>
          <w:b w:val="false"/>
          <w:i w:val="false"/>
          <w:color w:val="000000"/>
          <w:sz w:val="28"/>
        </w:rPr>
        <w:t>
      операцияның атауы;</w:t>
      </w:r>
    </w:p>
    <w:p>
      <w:pPr>
        <w:spacing w:after="0"/>
        <w:ind w:left="0"/>
        <w:jc w:val="both"/>
      </w:pPr>
      <w:r>
        <w:rPr>
          <w:rFonts w:ascii="Times New Roman"/>
          <w:b w:val="false"/>
          <w:i w:val="false"/>
          <w:color w:val="000000"/>
          <w:sz w:val="28"/>
        </w:rPr>
        <w:t>
      растайтын құжаттың деректемелері мен атауы;</w:t>
      </w:r>
    </w:p>
    <w:p>
      <w:pPr>
        <w:spacing w:after="0"/>
        <w:ind w:left="0"/>
        <w:jc w:val="both"/>
      </w:pPr>
      <w:r>
        <w:rPr>
          <w:rFonts w:ascii="Times New Roman"/>
          <w:b w:val="false"/>
          <w:i w:val="false"/>
          <w:color w:val="000000"/>
          <w:sz w:val="28"/>
        </w:rPr>
        <w:t>
      клиенттің тегі, аты, әкесінің аты (ол болса) немесе атауы;</w:t>
      </w:r>
    </w:p>
    <w:p>
      <w:pPr>
        <w:spacing w:after="0"/>
        <w:ind w:left="0"/>
        <w:jc w:val="both"/>
      </w:pPr>
      <w:r>
        <w:rPr>
          <w:rFonts w:ascii="Times New Roman"/>
          <w:b w:val="false"/>
          <w:i w:val="false"/>
          <w:color w:val="000000"/>
          <w:sz w:val="28"/>
        </w:rPr>
        <w:t>
      қаржы құралдарымен мәмілелер бойынша есеп айырысулар жүзеге асырылатын есептеу-депозитарлық жүйесінің атауы;</w:t>
      </w:r>
    </w:p>
    <w:p>
      <w:pPr>
        <w:spacing w:after="0"/>
        <w:ind w:left="0"/>
        <w:jc w:val="both"/>
      </w:pPr>
      <w:r>
        <w:rPr>
          <w:rFonts w:ascii="Times New Roman"/>
          <w:b w:val="false"/>
          <w:i w:val="false"/>
          <w:color w:val="000000"/>
          <w:sz w:val="28"/>
        </w:rPr>
        <w:t>
      брокердің және (немесе) дилердің және оның клиенттерінің ақшасын есепке алу және сақтау жүзеге асырылатын ұйымның атауы;</w:t>
      </w:r>
    </w:p>
    <w:p>
      <w:pPr>
        <w:spacing w:after="0"/>
        <w:ind w:left="0"/>
        <w:jc w:val="both"/>
      </w:pPr>
      <w:r>
        <w:rPr>
          <w:rFonts w:ascii="Times New Roman"/>
          <w:b w:val="false"/>
          <w:i w:val="false"/>
          <w:color w:val="000000"/>
          <w:sz w:val="28"/>
        </w:rPr>
        <w:t>
      клиенттің шоты бойынша ақша бойынша әрбір операцияның сомасы;</w:t>
      </w:r>
    </w:p>
    <w:p>
      <w:pPr>
        <w:spacing w:after="0"/>
        <w:ind w:left="0"/>
        <w:jc w:val="both"/>
      </w:pPr>
      <w:r>
        <w:rPr>
          <w:rFonts w:ascii="Times New Roman"/>
          <w:b w:val="false"/>
          <w:i w:val="false"/>
          <w:color w:val="000000"/>
          <w:sz w:val="28"/>
        </w:rPr>
        <w:t>
      көрсетілгені (өткізілгені) үшін осы сыйақы есептелген және (немесе) есептен шығарылған қызметті және (немесе) мәмілені (операцияны) көрсете отырып, брокер және (немесе) дилер, кастодиан, қор биржасы және өзге де ұйымдар сыйақысының сомасы;</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ақшамен операция бойынша контрагенттің атауы және оның шотының деректемелері;</w:t>
      </w:r>
    </w:p>
    <w:p>
      <w:pPr>
        <w:spacing w:after="0"/>
        <w:ind w:left="0"/>
        <w:jc w:val="both"/>
      </w:pPr>
      <w:r>
        <w:rPr>
          <w:rFonts w:ascii="Times New Roman"/>
          <w:b w:val="false"/>
          <w:i w:val="false"/>
          <w:color w:val="000000"/>
          <w:sz w:val="28"/>
        </w:rPr>
        <w:t>
      ақшамен операция бойынша контрагент тарапынан іс-әрекет жасайтын екінші деңгейдегі банктің немесе банк операцияларының жекелеген түрлерін жүзеге асыратын ұйымның атауы және оның шотының деректемелері.";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xml:space="preserve">
      "3-1. Номиналды ұстаушы ретінде клиенттердің шоттарын жүргізу құқығымен брокерлік және (немесе) дилерлік қызметті жүзеге асыруға лицензиялары бар ұйымдардың бағдарламалық қамтамасыз етуі Талаптардың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талаптарға қосымша мыналарды:</w:t>
      </w:r>
    </w:p>
    <w:bookmarkEnd w:id="11"/>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8796 болып тіркелген, Қазақстан Республикасы Ұлттық Банкі Басқармасының 2013 жылғы 27 тамыздағы № 214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қағидаларында белгіленген тәуекелдерді жабу коэффициентінің және бір клиентке тәуекелдердің мәндерін автоматтандырылған есептеуді;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17005 болып тіркелген, Қазақстан Республикасы Ұлттық Банкі Басқармасының 2018 жылғы 27 сәуірдегі № 80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брокерлік және (немесе) дилерлік қызметті жүзеге асыратын ұйымдар сақтауға тиісті пруденциялық нормативтердің мәндерін есеп айырысу қағидаларына сәйкес брокер және (немесе) дилер үшін пруденциялық нормативтердің мәндерін автоматтандырылған есептеуді;</w:t>
      </w:r>
    </w:p>
    <w:p>
      <w:pPr>
        <w:spacing w:after="0"/>
        <w:ind w:left="0"/>
        <w:jc w:val="both"/>
      </w:pPr>
      <w:r>
        <w:rPr>
          <w:rFonts w:ascii="Times New Roman"/>
          <w:b w:val="false"/>
          <w:i w:val="false"/>
          <w:color w:val="000000"/>
          <w:sz w:val="28"/>
        </w:rPr>
        <w:t>
      брокерге және (немесе) бірінші санаттағы дилерге тиесілі қаржы құралдарын және ақшаны олардың клиенттерінің қаржы құралдары мен ақшасынан бөлек есепке алуды жүзеге асыруды қамтамасыз етеді.</w:t>
      </w:r>
    </w:p>
    <w:p>
      <w:pPr>
        <w:spacing w:after="0"/>
        <w:ind w:left="0"/>
        <w:jc w:val="both"/>
      </w:pPr>
      <w:r>
        <w:rPr>
          <w:rFonts w:ascii="Times New Roman"/>
          <w:b w:val="false"/>
          <w:i w:val="false"/>
          <w:color w:val="000000"/>
          <w:sz w:val="28"/>
        </w:rPr>
        <w:t xml:space="preserve">
      Инвестициялық портфельді басқаруды жүзеге асыратын ұйымдардың бағдарламалық қамтамасыз етуі Талаптардың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қосымша мыналарды:</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17008 болып тіркелген, Қазақстан Республикасы Ұлттық Банкі Басқармасының 2018 жылғы 27 сәуірдегі № 79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басқаруды жүзеге асыратын ұйымдар сақтауға тиісті пруденциялық нормативтердің мәндерін есеп айырысу қағидаларына сәйкес инвестициялық портфельді басқаруды жүзеге асыратын ұйым үшін пруденциялық нормативтердің мәндерін автоматтандырылған есептеуді;</w:t>
      </w:r>
    </w:p>
    <w:p>
      <w:pPr>
        <w:spacing w:after="0"/>
        <w:ind w:left="0"/>
        <w:jc w:val="both"/>
      </w:pPr>
      <w:r>
        <w:rPr>
          <w:rFonts w:ascii="Times New Roman"/>
          <w:b w:val="false"/>
          <w:i w:val="false"/>
          <w:color w:val="000000"/>
          <w:sz w:val="28"/>
        </w:rPr>
        <w:t>
      инвестициялық портфельді басқаруды жүзеге асыратын ұйымға тиесілі қаржы құралдарын және ақшаны олардың клиенттерінің қаржы құралдары мен ақшасынан бөлек есепке алуды жүзеге асыруды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"5. Уәкілетті органның тиісті лицензиясы негізінде не Бағалы қағаздар рыногы туралы заңға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алмасатын электрондық құжаттардың үлгі нысандары орталық депозитарийдің ішкі құжатында айқындалады және орталық депозитарийдің қағидалар жинағында айқындалған талаптарға сәйкес келеді.";</w:t>
      </w:r>
    </w:p>
    <w:bookmarkEnd w:id="12"/>
    <w:bookmarkStart w:name="z21" w:id="1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22" w:id="14"/>
    <w:p>
      <w:pPr>
        <w:spacing w:after="0"/>
        <w:ind w:left="0"/>
        <w:jc w:val="both"/>
      </w:pPr>
      <w:r>
        <w:rPr>
          <w:rFonts w:ascii="Times New Roman"/>
          <w:b w:val="false"/>
          <w:i w:val="false"/>
          <w:color w:val="000000"/>
          <w:sz w:val="28"/>
        </w:rPr>
        <w:t xml:space="preserve">
      "4) Бағалы қағаздар рыногы туралы заңның </w:t>
      </w:r>
      <w:r>
        <w:rPr>
          <w:rFonts w:ascii="Times New Roman"/>
          <w:b w:val="false"/>
          <w:i w:val="false"/>
          <w:color w:val="000000"/>
          <w:sz w:val="28"/>
        </w:rPr>
        <w:t>56-бабының</w:t>
      </w:r>
      <w:r>
        <w:rPr>
          <w:rFonts w:ascii="Times New Roman"/>
          <w:b w:val="false"/>
          <w:i w:val="false"/>
          <w:color w:val="000000"/>
          <w:sz w:val="28"/>
        </w:rPr>
        <w:t xml:space="preserve"> 5 және 6-тармақтарында айқындалған талаптарға, сондай-ақ Нормативтік құқықтық актілерді мемлекеттік тіркеу тізілімінде № 5406 болып тіркелген Қазақстан Республикасы Қаржы нарығын және қаржы ұйымдарын реттеу мен қадағалау агенттігі Басқармасының 2008 жылғы 29 қазандағы № 170 қаулысымен бекітілген Бағалы қағаздармен және өзге де қаржы құралдарымен сауда ұйымдастыру қызметін жүзеге асыру қағидаларының </w:t>
      </w:r>
      <w:r>
        <w:rPr>
          <w:rFonts w:ascii="Times New Roman"/>
          <w:b w:val="false"/>
          <w:i w:val="false"/>
          <w:color w:val="000000"/>
          <w:sz w:val="28"/>
        </w:rPr>
        <w:t>9-тарауында</w:t>
      </w:r>
      <w:r>
        <w:rPr>
          <w:rFonts w:ascii="Times New Roman"/>
          <w:b w:val="false"/>
          <w:i w:val="false"/>
          <w:color w:val="000000"/>
          <w:sz w:val="28"/>
        </w:rPr>
        <w:t xml:space="preserve"> белгіленген жағдайларға сәйкес келетін бағалы қағаздармен жасалған мәмілелерді анықтау тұрғысынан қор биржасының сауда жүйесінде жасалатын мәмілелер өлшемдеріне мониторинг жүргізуді;";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xml:space="preserve">
      "7. Орталық депозитарийдің бағдарламалық қамтамасыз етуі Талаптардың </w:t>
      </w:r>
      <w:r>
        <w:rPr>
          <w:rFonts w:ascii="Times New Roman"/>
          <w:b w:val="false"/>
          <w:i w:val="false"/>
          <w:color w:val="000000"/>
          <w:sz w:val="28"/>
        </w:rPr>
        <w:t>1-тармағында</w:t>
      </w: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қосымша мыналарды:</w:t>
      </w:r>
    </w:p>
    <w:bookmarkEnd w:id="15"/>
    <w:p>
      <w:pPr>
        <w:spacing w:after="0"/>
        <w:ind w:left="0"/>
        <w:jc w:val="both"/>
      </w:pPr>
      <w:r>
        <w:rPr>
          <w:rFonts w:ascii="Times New Roman"/>
          <w:b w:val="false"/>
          <w:i w:val="false"/>
          <w:color w:val="000000"/>
          <w:sz w:val="28"/>
        </w:rPr>
        <w:t>
      1) тіркелген тұлғаның жеке шоты (қосалқы шоты) бойынша операцияларды жасағанға дейін:</w:t>
      </w:r>
    </w:p>
    <w:p>
      <w:pPr>
        <w:spacing w:after="0"/>
        <w:ind w:left="0"/>
        <w:jc w:val="both"/>
      </w:pPr>
      <w:r>
        <w:rPr>
          <w:rFonts w:ascii="Times New Roman"/>
          <w:b w:val="false"/>
          <w:i w:val="false"/>
          <w:color w:val="000000"/>
          <w:sz w:val="28"/>
        </w:rPr>
        <w:t>
      Қазақстан Республикасының бағалы қағаздар рыногы туралы заңнамасының және орталық депозитарийдің қағидалар жиынтығының талаптарын ескере отырып, осындай операция жасау мүмкіндігін;</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жасауға негіз болатын құжаттар деректемелерінің болуы және орталық депозитарийдің қағидалар жиынтығының талаптарына сәйкес келуі тұрғысынан тексеруді;</w:t>
      </w:r>
    </w:p>
    <w:p>
      <w:pPr>
        <w:spacing w:after="0"/>
        <w:ind w:left="0"/>
        <w:jc w:val="both"/>
      </w:pPr>
      <w:r>
        <w:rPr>
          <w:rFonts w:ascii="Times New Roman"/>
          <w:b w:val="false"/>
          <w:i w:val="false"/>
          <w:color w:val="000000"/>
          <w:sz w:val="28"/>
        </w:rPr>
        <w:t>
      2) тіркелген тұлғаның жеке шоты (қосалқы шоты) бойынша операция жасауға негіз болатын құжаттарды беретін тұлғалардың, осы іс-әрекеттерді жасауға өкілеттіктерін, сондай-ақ жеке шот (қосалқы шот) бойынша операцияны тіркеуге немесе ақпараттық операция жүргізуге негіз болатын бұйрықтарға қол қойған тұлғалардың өкілеттіктерін растайтын құжаттарды сәйкестендіруді;</w:t>
      </w:r>
    </w:p>
    <w:p>
      <w:pPr>
        <w:spacing w:after="0"/>
        <w:ind w:left="0"/>
        <w:jc w:val="both"/>
      </w:pPr>
      <w:r>
        <w:rPr>
          <w:rFonts w:ascii="Times New Roman"/>
          <w:b w:val="false"/>
          <w:i w:val="false"/>
          <w:color w:val="000000"/>
          <w:sz w:val="28"/>
        </w:rPr>
        <w:t>
      3) егер осы тармақтың 1) тармақшасына сәйкес жүргізілген тексерудің қорытындысы бойынша:</w:t>
      </w:r>
    </w:p>
    <w:p>
      <w:pPr>
        <w:spacing w:after="0"/>
        <w:ind w:left="0"/>
        <w:jc w:val="both"/>
      </w:pPr>
      <w:r>
        <w:rPr>
          <w:rFonts w:ascii="Times New Roman"/>
          <w:b w:val="false"/>
          <w:i w:val="false"/>
          <w:color w:val="000000"/>
          <w:sz w:val="28"/>
        </w:rPr>
        <w:t>
      Қазақстан Республикасының бағалы қағаздар рыногы туралы заңнамасының және орталық депозитарийдің қағидалар жиынтығының талаптарына жасауға болжанған операцияның сәйкес келмеуі анықталса;</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жасауға негіз болатын құжаттардағы деректемелердің болмауы немесе орталық депозитарийдің қағидалар жиынтығының талаптарына сәйкес келмеуі анықталса;</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жасауға негіз болатын құжаттарды беретін тұлғалардың осы іс-әрекеттерді жасауға өкілеттіктері расталмаса, тіркелген тұлғаның жеке шоты (қосалқы шоты) бойынша операциялар жасаудан бас тартуды;</w:t>
      </w:r>
    </w:p>
    <w:p>
      <w:pPr>
        <w:spacing w:after="0"/>
        <w:ind w:left="0"/>
        <w:jc w:val="both"/>
      </w:pPr>
      <w:r>
        <w:rPr>
          <w:rFonts w:ascii="Times New Roman"/>
          <w:b w:val="false"/>
          <w:i w:val="false"/>
          <w:color w:val="000000"/>
          <w:sz w:val="28"/>
        </w:rPr>
        <w:t>
      4) операциялық күн жабылғаннан кейін, егер келесі операциялық күн ашылмаса, тіркелген тұлғаның жеке шоттары (қосалқы шоттары) бойынша операциялар жүргізу үшін мүмкіндіктерді шектеуді;</w:t>
      </w:r>
    </w:p>
    <w:p>
      <w:pPr>
        <w:spacing w:after="0"/>
        <w:ind w:left="0"/>
        <w:jc w:val="both"/>
      </w:pPr>
      <w:r>
        <w:rPr>
          <w:rFonts w:ascii="Times New Roman"/>
          <w:b w:val="false"/>
          <w:i w:val="false"/>
          <w:color w:val="000000"/>
          <w:sz w:val="28"/>
        </w:rPr>
        <w:t>
      5) бағдарламалық қамтамасыз етудің жұмыс істеуі барысында аудит журналын жүргізуді.</w:t>
      </w:r>
    </w:p>
    <w:p>
      <w:pPr>
        <w:spacing w:after="0"/>
        <w:ind w:left="0"/>
        <w:jc w:val="both"/>
      </w:pPr>
      <w:r>
        <w:rPr>
          <w:rFonts w:ascii="Times New Roman"/>
          <w:b w:val="false"/>
          <w:i w:val="false"/>
          <w:color w:val="000000"/>
          <w:sz w:val="28"/>
        </w:rPr>
        <w:t>
      Талаптардың мақсаттары үшін аудит журналы деп бағдарламалық қамтамасыз етудің жұмыс етуі процесінде штаттық және маңызды іс-қимылдарды көрсету мақсатында әзірленген мамандандырылған құрал түсініледі;</w:t>
      </w:r>
    </w:p>
    <w:p>
      <w:pPr>
        <w:spacing w:after="0"/>
        <w:ind w:left="0"/>
        <w:jc w:val="both"/>
      </w:pPr>
      <w:r>
        <w:rPr>
          <w:rFonts w:ascii="Times New Roman"/>
          <w:b w:val="false"/>
          <w:i w:val="false"/>
          <w:color w:val="000000"/>
          <w:sz w:val="28"/>
        </w:rPr>
        <w:t>
      6) ұйымдастырылған және ұйымдастырылмаған нарықтарда жасалған туынды қаржы құралдарымен мәмілелер тізілімін жүргізуді қамтамасыз етеді.";</w:t>
      </w:r>
    </w:p>
    <w:bookmarkStart w:name="z25" w:id="1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6"/>
    <w:bookmarkStart w:name="z26" w:id="17"/>
    <w:p>
      <w:pPr>
        <w:spacing w:after="0"/>
        <w:ind w:left="0"/>
        <w:jc w:val="both"/>
      </w:pPr>
      <w:r>
        <w:rPr>
          <w:rFonts w:ascii="Times New Roman"/>
          <w:b w:val="false"/>
          <w:i w:val="false"/>
          <w:color w:val="000000"/>
          <w:sz w:val="28"/>
        </w:rPr>
        <w:t>
      "8) ұзақ уақыт сақталатын деректердің сыртқы тасымалдағыштарында және (немесе) деректерді өңдеудің резервтік орталықтарында мұрағаттық және резервтік көшірмелерді жасау.";</w:t>
      </w:r>
    </w:p>
    <w:bookmarkEnd w:id="17"/>
    <w:bookmarkStart w:name="z27" w:id="18"/>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
    <w:bookmarkStart w:name="z28" w:id="19"/>
    <w:p>
      <w:pPr>
        <w:spacing w:after="0"/>
        <w:ind w:left="0"/>
        <w:jc w:val="both"/>
      </w:pPr>
      <w:r>
        <w:rPr>
          <w:rFonts w:ascii="Times New Roman"/>
          <w:b w:val="false"/>
          <w:i w:val="false"/>
          <w:color w:val="000000"/>
          <w:sz w:val="28"/>
        </w:rPr>
        <w:t>
      "4) бағдарламалық қамтамасыз етуде меншікті және клиенттің активтеріне қатысты қаржы құралдарымен, сондай-ақ басқарудағы өзге мүлікпен белгілі бір операцияларды жүргізу;";</w:t>
      </w:r>
    </w:p>
    <w:bookmarkEnd w:id="19"/>
    <w:bookmarkStart w:name="z29" w:id="2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30" w:id="21"/>
    <w:p>
      <w:pPr>
        <w:spacing w:after="0"/>
        <w:ind w:left="0"/>
        <w:jc w:val="both"/>
      </w:pPr>
      <w:r>
        <w:rPr>
          <w:rFonts w:ascii="Times New Roman"/>
          <w:b w:val="false"/>
          <w:i w:val="false"/>
          <w:color w:val="000000"/>
          <w:sz w:val="28"/>
        </w:rPr>
        <w:t>
      "2) қалыптастырылған шығыс нысандарының деректеріне өзгерістер енгізуге мүмкіндік беретін функцияларға ие болуға;";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"19. Пайдаланушының операцияларды жүргізу үшін пайдаланылатын дербес компьютерінде оның лауазымдық міндеттерімен байланысты міндеттерді шешуге арналмаған бағдарламалық құрал-жабдықтар орнатылмайды.</w:t>
      </w:r>
    </w:p>
    <w:bookmarkEnd w:id="22"/>
    <w:p>
      <w:pPr>
        <w:spacing w:after="0"/>
        <w:ind w:left="0"/>
        <w:jc w:val="both"/>
      </w:pPr>
      <w:r>
        <w:rPr>
          <w:rFonts w:ascii="Times New Roman"/>
          <w:b w:val="false"/>
          <w:i w:val="false"/>
          <w:color w:val="000000"/>
          <w:sz w:val="28"/>
        </w:rPr>
        <w:t>
      Пайдаланушының дербес компьютерінде орнату үшін рұқсат етілген бағдарламалық құрал-жабдықтар тізбесі бағалы қағаздар нарығының кәсіби қатысушысының ішкі құжаттарында айқындалады, ол осы бағалы қағаздар нарығының кәсіби қатысушысының ақпараттық қауіпсіздік қызметімен және (немесе) тәуекелдерді басқаруды жүзеге асыратын бөлімшесімен келісіледі.".</w:t>
      </w:r>
    </w:p>
    <w:bookmarkStart w:name="z33" w:id="23"/>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3"/>
    <w:bookmarkStart w:name="z34" w:id="2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4"/>
    <w:bookmarkStart w:name="z35" w:id="2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5"/>
    <w:bookmarkStart w:name="z36" w:id="2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6"/>
    <w:bookmarkStart w:name="z37" w:id="27"/>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7"/>
    <w:bookmarkStart w:name="z38" w:id="28"/>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8"/>
    <w:bookmarkStart w:name="z39" w:id="2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29"/>
    <w:bookmarkStart w:name="z40" w:id="30"/>
    <w:p>
      <w:pPr>
        <w:spacing w:after="0"/>
        <w:ind w:left="0"/>
        <w:jc w:val="both"/>
      </w:pPr>
      <w:r>
        <w:rPr>
          <w:rFonts w:ascii="Times New Roman"/>
          <w:b w:val="false"/>
          <w:i w:val="false"/>
          <w:color w:val="000000"/>
          <w:sz w:val="28"/>
        </w:rPr>
        <w:t>
      5. Осы қаулы 2019 жылғы 1 қаңтардан бастап қолданысқа енгізіледі және ресми жариялануға тиіс.</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министрлігі </w:t>
      </w:r>
    </w:p>
    <w:p>
      <w:pPr>
        <w:spacing w:after="0"/>
        <w:ind w:left="0"/>
        <w:jc w:val="both"/>
      </w:pPr>
      <w:r>
        <w:rPr>
          <w:rFonts w:ascii="Times New Roman"/>
          <w:b w:val="false"/>
          <w:i w:val="false"/>
          <w:color w:val="000000"/>
          <w:sz w:val="28"/>
        </w:rPr>
        <w:t xml:space="preserve">
      2018 жылғы "____" 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2018 жылғы "____"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