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9f7e" w14:textId="e909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желтоқсандағы № 1074 бұйрығы. Қазақстан Республикасының Әділет министрлігінде 2018 жылғы 14 желтоқсанда № 17943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бөліммен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Қазақстан Республикасы Қорғаныс министрлігінің әскери оқу орындары ұсынатын қызметтер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басқа да міндетті төлемдерді төлеуді қоса алғанда, ғылыми зерттеуді жүргізуге қатысатын зерттеу тобы жетекшісінің және мүшелерінің еңбегіне сыйақы беру;</w:t>
            </w:r>
          </w:p>
          <w:p>
            <w:pPr>
              <w:spacing w:after="20"/>
              <w:ind w:left="20"/>
              <w:jc w:val="both"/>
            </w:pPr>
            <w:r>
              <w:rPr>
                <w:rFonts w:ascii="Times New Roman"/>
                <w:b w:val="false"/>
                <w:i w:val="false"/>
                <w:color w:val="000000"/>
                <w:sz w:val="20"/>
              </w:rPr>
              <w:t>
2) Қазақстан Республикасының заңнамасында белгіленген іссапарлар шығыстарын өтеу нормалары шегінде зерттеулер жүргізуге, ғылыми, оның ішінде халықаралық конференциялар-ға, семинарларға, көрмелерге қатысуға байланысты іссапарлар;</w:t>
            </w:r>
          </w:p>
          <w:p>
            <w:pPr>
              <w:spacing w:after="20"/>
              <w:ind w:left="20"/>
              <w:jc w:val="both"/>
            </w:pPr>
            <w:r>
              <w:rPr>
                <w:rFonts w:ascii="Times New Roman"/>
                <w:b w:val="false"/>
                <w:i w:val="false"/>
                <w:color w:val="000000"/>
                <w:sz w:val="20"/>
              </w:rPr>
              <w:t>
 3) зерттеулерді орындау үшін қажетті ұжымдық пайдаланылатын ғылыми зертханалар, өзге де зертханалар, басқа да ұйымдар көрсететін қызметтерге, оның ішінде конференциялар-ға қатысу үшін ұйымдық жарналар;</w:t>
            </w:r>
          </w:p>
          <w:p>
            <w:pPr>
              <w:spacing w:after="20"/>
              <w:ind w:left="20"/>
              <w:jc w:val="both"/>
            </w:pPr>
            <w:r>
              <w:rPr>
                <w:rFonts w:ascii="Times New Roman"/>
                <w:b w:val="false"/>
                <w:i w:val="false"/>
                <w:color w:val="000000"/>
                <w:sz w:val="20"/>
              </w:rPr>
              <w:t>
 4) зерттеулер жүргізу үшін шығыс материалдарын, жабдық пен бағдарламалық қамтамасыз етуді сатып алу;</w:t>
            </w:r>
          </w:p>
          <w:p>
            <w:pPr>
              <w:spacing w:after="20"/>
              <w:ind w:left="20"/>
              <w:jc w:val="both"/>
            </w:pPr>
            <w:r>
              <w:rPr>
                <w:rFonts w:ascii="Times New Roman"/>
                <w:b w:val="false"/>
                <w:i w:val="false"/>
                <w:color w:val="000000"/>
                <w:sz w:val="20"/>
              </w:rPr>
              <w:t>
5) жарияланымдар дайындауға және ғылыми зерттеулер нәтижелерін жария ету;</w:t>
            </w:r>
          </w:p>
          <w:p>
            <w:pPr>
              <w:spacing w:after="20"/>
              <w:ind w:left="20"/>
              <w:jc w:val="both"/>
            </w:pPr>
            <w:r>
              <w:rPr>
                <w:rFonts w:ascii="Times New Roman"/>
                <w:b w:val="false"/>
                <w:i w:val="false"/>
                <w:color w:val="000000"/>
                <w:sz w:val="20"/>
              </w:rPr>
              <w:t xml:space="preserve">
6) ғылыми зерттеулер жүргізу шеңберіндегі түзетулер; </w:t>
            </w:r>
          </w:p>
          <w:p>
            <w:pPr>
              <w:spacing w:after="20"/>
              <w:ind w:left="20"/>
              <w:jc w:val="both"/>
            </w:pPr>
            <w:r>
              <w:rPr>
                <w:rFonts w:ascii="Times New Roman"/>
                <w:b w:val="false"/>
                <w:i w:val="false"/>
                <w:color w:val="000000"/>
                <w:sz w:val="20"/>
              </w:rPr>
              <w:t>
7) зерттеулер жүргізу үшін үй-жайлар, жабдық пен техниканы жалға алу;</w:t>
            </w:r>
          </w:p>
          <w:p>
            <w:pPr>
              <w:spacing w:after="20"/>
              <w:ind w:left="20"/>
              <w:jc w:val="both"/>
            </w:pPr>
            <w:r>
              <w:rPr>
                <w:rFonts w:ascii="Times New Roman"/>
                <w:b w:val="false"/>
                <w:i w:val="false"/>
                <w:color w:val="000000"/>
                <w:sz w:val="20"/>
              </w:rPr>
              <w:t>
8) зерттеулерді іске асыру үшін пайдаланылатын жабдық пен техниканы күтіп ұстауға арналған шығыстар;</w:t>
            </w:r>
          </w:p>
          <w:p>
            <w:pPr>
              <w:spacing w:after="20"/>
              <w:ind w:left="20"/>
              <w:jc w:val="both"/>
            </w:pPr>
            <w:r>
              <w:rPr>
                <w:rFonts w:ascii="Times New Roman"/>
                <w:b w:val="false"/>
                <w:i w:val="false"/>
                <w:color w:val="000000"/>
                <w:sz w:val="20"/>
              </w:rPr>
              <w:t>
9) ғылыми зерттеулер жүргізу шеңберінде басқа пайдаланушының, оның ішінде отандық және шетел электрондық дерекқорларын (ресурстарын) пайдалану үшін абонементтер, технопарктердің жабдығы мен шығыс материалдарын сатып алу;</w:t>
            </w:r>
          </w:p>
          <w:p>
            <w:pPr>
              <w:spacing w:after="20"/>
              <w:ind w:left="20"/>
              <w:jc w:val="both"/>
            </w:pPr>
            <w:r>
              <w:rPr>
                <w:rFonts w:ascii="Times New Roman"/>
                <w:b w:val="false"/>
                <w:i w:val="false"/>
                <w:color w:val="000000"/>
                <w:sz w:val="20"/>
              </w:rPr>
              <w:t>
10) кірістер тиісті жылға бекітілген жоспарлардан тыс асқан жағдайда азаматтық персонал адамдарына ынталандыру сипатында қосымша ақылар, үстемеақылар, сыйлықақылар мен төлемдер белгілеу;</w:t>
            </w:r>
          </w:p>
          <w:p>
            <w:pPr>
              <w:spacing w:after="20"/>
              <w:ind w:left="20"/>
              <w:jc w:val="both"/>
            </w:pPr>
            <w:r>
              <w:rPr>
                <w:rFonts w:ascii="Times New Roman"/>
                <w:b w:val="false"/>
                <w:i w:val="false"/>
                <w:color w:val="000000"/>
                <w:sz w:val="20"/>
              </w:rPr>
              <w:t>
11) конференциялар, семинарлар, дөңгелек үстелдер, конкурстар, жарыстар, олимпиадалар, оның ішінде халықаралық, өткізу шеңберінде кофе-брейктер өткізуге, кәдесый өнімін, естелік сыйлықтар сатып алу;</w:t>
            </w:r>
          </w:p>
          <w:p>
            <w:pPr>
              <w:spacing w:after="20"/>
              <w:ind w:left="20"/>
              <w:jc w:val="both"/>
            </w:pPr>
            <w:r>
              <w:rPr>
                <w:rFonts w:ascii="Times New Roman"/>
                <w:b w:val="false"/>
                <w:i w:val="false"/>
                <w:color w:val="000000"/>
                <w:sz w:val="20"/>
              </w:rPr>
              <w:t>
12) ғылыми зерттеулер жүргізу шеңберінде банктік көрсетілетін қызметтерді төлеу;</w:t>
            </w:r>
          </w:p>
          <w:p>
            <w:pPr>
              <w:spacing w:after="20"/>
              <w:ind w:left="20"/>
              <w:jc w:val="both"/>
            </w:pPr>
            <w:r>
              <w:rPr>
                <w:rFonts w:ascii="Times New Roman"/>
                <w:b w:val="false"/>
                <w:i w:val="false"/>
                <w:color w:val="000000"/>
                <w:sz w:val="20"/>
              </w:rPr>
              <w:t>
13) баспа және полиграфиялық өнімдерді дайындау мақсатында шығыс материалдарын және жабдықты сатып алу;</w:t>
            </w:r>
          </w:p>
          <w:p>
            <w:pPr>
              <w:spacing w:after="20"/>
              <w:ind w:left="20"/>
              <w:jc w:val="both"/>
            </w:pPr>
            <w:r>
              <w:rPr>
                <w:rFonts w:ascii="Times New Roman"/>
                <w:b w:val="false"/>
                <w:i w:val="false"/>
                <w:color w:val="000000"/>
                <w:sz w:val="20"/>
              </w:rPr>
              <w:t>
14) басқа ұйымдардың ұжымдық пайдаланылатын зертханаларын және ғылыми-эксперименттік базаларын жалға алу;</w:t>
            </w:r>
          </w:p>
          <w:p>
            <w:pPr>
              <w:spacing w:after="20"/>
              <w:ind w:left="20"/>
              <w:jc w:val="both"/>
            </w:pPr>
            <w:r>
              <w:rPr>
                <w:rFonts w:ascii="Times New Roman"/>
                <w:b w:val="false"/>
                <w:i w:val="false"/>
                <w:color w:val="000000"/>
                <w:sz w:val="20"/>
              </w:rPr>
              <w:t>
15) мамандардың біліктілігін арттыру;</w:t>
            </w:r>
          </w:p>
          <w:p>
            <w:pPr>
              <w:spacing w:after="20"/>
              <w:ind w:left="20"/>
              <w:jc w:val="both"/>
            </w:pPr>
            <w:r>
              <w:rPr>
                <w:rFonts w:ascii="Times New Roman"/>
                <w:b w:val="false"/>
                <w:i w:val="false"/>
                <w:color w:val="000000"/>
                <w:sz w:val="20"/>
              </w:rPr>
              <w:t>
16) оқу-материалдық базаны нығайту;</w:t>
            </w:r>
          </w:p>
          <w:p>
            <w:pPr>
              <w:spacing w:after="20"/>
              <w:ind w:left="20"/>
              <w:jc w:val="both"/>
            </w:pPr>
            <w:r>
              <w:rPr>
                <w:rFonts w:ascii="Times New Roman"/>
                <w:b w:val="false"/>
                <w:i w:val="false"/>
                <w:color w:val="000000"/>
                <w:sz w:val="20"/>
              </w:rPr>
              <w:t>
17) жарыстарға, олимпиадаларға, оның ішінде халықаралыққа қатысушыларды тамақтандыру жөніндегі шығыстарды өтеу;</w:t>
            </w:r>
          </w:p>
          <w:p>
            <w:pPr>
              <w:spacing w:after="20"/>
              <w:ind w:left="20"/>
              <w:jc w:val="both"/>
            </w:pPr>
            <w:r>
              <w:rPr>
                <w:rFonts w:ascii="Times New Roman"/>
                <w:b w:val="false"/>
                <w:i w:val="false"/>
                <w:color w:val="000000"/>
                <w:sz w:val="20"/>
              </w:rPr>
              <w:t>
18)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19) ақылы білім беру қызметтерін көрсететін жалдамалы жұмыскерлердің еңбегіне ақы төлеу;</w:t>
            </w:r>
          </w:p>
          <w:p>
            <w:pPr>
              <w:spacing w:after="20"/>
              <w:ind w:left="20"/>
              <w:jc w:val="both"/>
            </w:pPr>
            <w:r>
              <w:rPr>
                <w:rFonts w:ascii="Times New Roman"/>
                <w:b w:val="false"/>
                <w:i w:val="false"/>
                <w:color w:val="000000"/>
                <w:sz w:val="20"/>
              </w:rPr>
              <w:t>
20) көрсетілетін көлік қызметтерін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оқу процесі үшін оқу құралдарын, көрнекілік материалдарды сатып алу;</w:t>
            </w:r>
          </w:p>
          <w:p>
            <w:pPr>
              <w:spacing w:after="20"/>
              <w:ind w:left="20"/>
              <w:jc w:val="both"/>
            </w:pPr>
            <w:r>
              <w:rPr>
                <w:rFonts w:ascii="Times New Roman"/>
                <w:b w:val="false"/>
                <w:i w:val="false"/>
                <w:color w:val="000000"/>
                <w:sz w:val="20"/>
              </w:rPr>
              <w:t>
23) оқыту тренингтерін, семинарларын өткізу;</w:t>
            </w:r>
          </w:p>
          <w:p>
            <w:pPr>
              <w:spacing w:after="20"/>
              <w:ind w:left="20"/>
              <w:jc w:val="both"/>
            </w:pPr>
            <w:r>
              <w:rPr>
                <w:rFonts w:ascii="Times New Roman"/>
                <w:b w:val="false"/>
                <w:i w:val="false"/>
                <w:color w:val="000000"/>
                <w:sz w:val="20"/>
              </w:rPr>
              <w:t>
24) оқу және ғылыми мақсаттар үшін бейнероликтерді, бейнефильмдерді, аудиожазбаларды дайындау.</w:t>
            </w:r>
          </w:p>
          <w:p>
            <w:pPr>
              <w:spacing w:after="20"/>
              <w:ind w:left="20"/>
              <w:jc w:val="both"/>
            </w:pPr>
            <w:r>
              <w:rPr>
                <w:rFonts w:ascii="Times New Roman"/>
                <w:b w:val="false"/>
                <w:i w:val="false"/>
                <w:color w:val="000000"/>
                <w:sz w:val="20"/>
              </w:rPr>
              <w:t>
(111, 112, 113, 121, 122, 124, 131, 132, 135, 136, 141, 142, 143,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 Заңының 63-бабының 3-тармағы,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Республикасының Қорғаныс министрінің 2018 жылдың 3 қарашадағы № 751 бұйрығы (Нормативтік құқықтық актілерді мемлекеттік тіркеу тізілімінде № 17730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функционалдық тағайындалуы бойынша ғылыми-эксперименттік, оқу-материалдық, спорттық базаны, сондай-ақ конференц-залдарды, брифинг-залдарды, акт залдарын және дәрісханаларды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 мен орта буынның мамандарын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туралы" 2007 жылғы 27 шілдедегі Заңының 63-бабының 3-тармағы, Қазақстан Республикасы-ның 2005 жылғы 7 қаңтардағы "Қазақстан Республикасының қорғанысы және Қарулы Күштері туралы" Заңының 17-бабы.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жариялануын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