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9e1e" w14:textId="d7d9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30 қарашадағы № 659 бұйрығы. Қазақстан Республикасының Әділет министрлігінде 2018 жылғы 30 қарашада № 17841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16937 болып тіркелген, Нормативтік құқықтық актілердің эталондық бақылау банкінде 2018 жылғы 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бөлінген 2018-2019 оқу жылына магистрлерді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бөлінген 2018-2019 оқу жылына PhD докторларын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Аймағамбетовке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659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bl>
    <w:bookmarkStart w:name="z14" w:id="12"/>
    <w:p>
      <w:pPr>
        <w:spacing w:after="0"/>
        <w:ind w:left="0"/>
        <w:jc w:val="left"/>
      </w:pPr>
      <w:r>
        <w:rPr>
          <w:rFonts w:ascii="Times New Roman"/>
          <w:b/>
          <w:i w:val="false"/>
          <w:color w:val="000000"/>
        </w:rPr>
        <w:t xml:space="preserve"> 2018-2019 оқу жылына магистрлерді даярлауға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2016"/>
        <w:gridCol w:w="2073"/>
        <w:gridCol w:w="2073"/>
        <w:gridCol w:w="1359"/>
        <w:gridCol w:w="1359"/>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ғылыми-педагогикалық бағыт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бейінді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және әдебиеті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6M012400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өлшеу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6M021500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6M030200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экспертиза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6M040900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журналистика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6M052200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6M061300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Мұнау-газ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6M071900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6M072900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заттар мен бұйымдар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6M073900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іздеу әдістері және пайдалы қазбалар кен орындарын барлау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6M074900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6M075500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6M080400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Жеміс-көкеніс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6M081100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6M090300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6M090500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6M090600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6M090700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6M090800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6M090900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6M091000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 және таиғатты пайдалануды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6M091200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мейрамхана бизнесі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6M100200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6M120100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6M120200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659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2018-2019 оқу жылына PhD докторларын даярлауға арналған мемлекеттік білім беру тапсырысы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2738"/>
        <w:gridCol w:w="5078"/>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коды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оқу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әкімшілік жүргізу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Мұнау-газ ісі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 және технологиялары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машиналар және жабдықтар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ғимарат</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есептегіш техника және басқару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Жеміс-көкеніс шаруашылығы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шауашылығын энергиямен қамтамасыз 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Әәскери іс және қауіпсіздік</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