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c03e" w14:textId="292c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қарашадағы № 829 және Қазақстан Республикасы Ұлттық экономика министрінің 2018 жылғы 29 қарашадағы № 88 бірлескен бұйрығы. Қазақстан Республикасының Әділет министрлігінде 2018 жылғы 30 қарашада № 17830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14163 болып тіркелген)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бірлескен бұйрыққа 1-қосымшаға сәйкес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дәрежелерін бағалау өлшемшарттары;</w:t>
      </w:r>
    </w:p>
    <w:p>
      <w:pPr>
        <w:spacing w:after="0"/>
        <w:ind w:left="0"/>
        <w:jc w:val="both"/>
      </w:pPr>
      <w:r>
        <w:rPr>
          <w:rFonts w:ascii="Times New Roman"/>
          <w:b w:val="false"/>
          <w:i w:val="false"/>
          <w:color w:val="000000"/>
          <w:sz w:val="28"/>
        </w:rPr>
        <w:t>
      2) осы бірлескен бұйрыққа 2-қосымшаға сәйкес бағалы металдар мен асыл тастардан жасалған зергерлік және басқа да бұйымдарды өткізу саласында мемлекеттік бақылау саласындағы тексеру парағының нысаны бекітілсін;</w:t>
      </w:r>
    </w:p>
    <w:bookmarkStart w:name="z4"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1), 2) және 3) тармақшаларына сәйкес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7" w:id="5"/>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 және даму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 Ж. Қасымбек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 Т. Сүлейменов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2018 жылғы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88</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дәрежелерін бағалау өлшемшарттары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өлшемшарттары (бұдан әрі –Өлшемшарттар) 2018 жылғы 29 қазандағы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нысандарын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8"/>
    <w:bookmarkStart w:name="z12"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p>
      <w:pPr>
        <w:spacing w:after="0"/>
        <w:ind w:left="0"/>
        <w:jc w:val="both"/>
      </w:pPr>
      <w:r>
        <w:rPr>
          <w:rFonts w:ascii="Times New Roman"/>
          <w:b w:val="false"/>
          <w:i w:val="false"/>
          <w:color w:val="000000"/>
          <w:sz w:val="28"/>
        </w:rPr>
        <w:t>
      1)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оларсыз,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2) зергерлік және басқа да бұйымдарды өткізу саласындағы болмашы бұзушылықтар – бұзушылықтар туралы бұқаралық ақпарат құралдарында ресми хабарламалардың болуы;</w:t>
      </w:r>
    </w:p>
    <w:p>
      <w:pPr>
        <w:spacing w:after="0"/>
        <w:ind w:left="0"/>
        <w:jc w:val="both"/>
      </w:pPr>
      <w:r>
        <w:rPr>
          <w:rFonts w:ascii="Times New Roman"/>
          <w:b w:val="false"/>
          <w:i w:val="false"/>
          <w:color w:val="000000"/>
          <w:sz w:val="28"/>
        </w:rPr>
        <w:t>
      3) зергерлік және басқа да бұйымдарды өткізу саласындағы елеулі бұзушылықтар – қымбат бағалы емес тасты зергерлік және басқа да бұйымдарда көз ретінде пайдалану туралы затзатбелгідегі ақпаратсыз зергерлік және басқа да бұйымдарды өткізу түріндегі талаптарды бұзу, атаулы таңбаның уәкілетті ұйымда тіркеуінің болмауы, зергерлік және басқа да бұйымдарды өткізу саласында расталған бір шағымның немесе өтініштің болуы;</w:t>
      </w:r>
    </w:p>
    <w:p>
      <w:pPr>
        <w:spacing w:after="0"/>
        <w:ind w:left="0"/>
        <w:jc w:val="both"/>
      </w:pPr>
      <w:r>
        <w:rPr>
          <w:rFonts w:ascii="Times New Roman"/>
          <w:b w:val="false"/>
          <w:i w:val="false"/>
          <w:color w:val="000000"/>
          <w:sz w:val="28"/>
        </w:rPr>
        <w:t>
      4) зергерлік және басқа да бұйымдарды өткізу саласындағы өрескел бұзушылықтар – Еуразиялық экономикалық одаққа кірмейтін елдерден Қазақстан Республикасының аумағына әкелу кезінде тауардың әрбір партиясына берілген сараптамалық қорытындысынсыз, мемлекеттік бақылау актісінсіз, зергерлік және басқа да бұйымдарды өндіру субъектісі қоятын сынамалау таңбасының, атаулы таңба бедерінің болуынсыз зергерлік және басқа да бұйымдарды өткізу бөлігінде талаптарды бұзу, зергерлік және басқа да бұйымдарды өткізу саласындағы екі немесе одан да көп расталған шағымдардың немесе өтініштердің болуы;</w:t>
      </w:r>
    </w:p>
    <w:p>
      <w:pPr>
        <w:spacing w:after="0"/>
        <w:ind w:left="0"/>
        <w:jc w:val="both"/>
      </w:pPr>
      <w:r>
        <w:rPr>
          <w:rFonts w:ascii="Times New Roman"/>
          <w:b w:val="false"/>
          <w:i w:val="false"/>
          <w:color w:val="000000"/>
          <w:sz w:val="28"/>
        </w:rPr>
        <w:t>
      5) зергерлік және басқа да бұйымдарды өткізу саласындағы тәуекел – бақылау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6) зергерлік және басқа да бұйымдарды өткізу саласындағы тексерілетін субъектілер (бұдан әрі – тексерілетін субъектілер) – Қазақстан Республикасының аумағында зергерлік және басқа да бұйымдарды өткізуді жүзеге асыратын заңды тұлғалар мен жеке кәсіпкерлер;</w:t>
      </w:r>
    </w:p>
    <w:p>
      <w:pPr>
        <w:spacing w:after="0"/>
        <w:ind w:left="0"/>
        <w:jc w:val="both"/>
      </w:pPr>
      <w:r>
        <w:rPr>
          <w:rFonts w:ascii="Times New Roman"/>
          <w:b w:val="false"/>
          <w:i w:val="false"/>
          <w:color w:val="000000"/>
          <w:sz w:val="28"/>
        </w:rPr>
        <w:t>
      7) зергерлік және басқа да бұйымдарды өткізу саласында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субъектілерін (объектілерін) іріктеу үшін пайдаланылатын және жеке тексерілетін бақылау субъектісіне (объектісіне) тікелей тәуелді емес тәуекел дәрежесін бағалау өлшемдері;</w:t>
      </w:r>
    </w:p>
    <w:p>
      <w:pPr>
        <w:spacing w:after="0"/>
        <w:ind w:left="0"/>
        <w:jc w:val="both"/>
      </w:pPr>
      <w:r>
        <w:rPr>
          <w:rFonts w:ascii="Times New Roman"/>
          <w:b w:val="false"/>
          <w:i w:val="false"/>
          <w:color w:val="000000"/>
          <w:sz w:val="28"/>
        </w:rPr>
        <w:t>
      8) зергерлік және басқа да бұйымдарды өткізу саласында тәуекел дәрежесін бағалаудың субъективті өлшемшарттары (бұдан әрі – субъективті өлшемшарттар) –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зергерлік және басқа да бұйымдарды өткізу саласындағы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Start w:name="z13" w:id="1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зергерлік және басқа да бұйымдарды өткізу саласындағы тәуекел дәрежесін бағалау өлшемшарттары объективті және субъективті өлшемшарттар арқылы қалыптастырылады.</w:t>
      </w:r>
    </w:p>
    <w:bookmarkEnd w:id="10"/>
    <w:bookmarkStart w:name="z14" w:id="11"/>
    <w:p>
      <w:pPr>
        <w:spacing w:after="0"/>
        <w:ind w:left="0"/>
        <w:jc w:val="left"/>
      </w:pPr>
      <w:r>
        <w:rPr>
          <w:rFonts w:ascii="Times New Roman"/>
          <w:b/>
          <w:i w:val="false"/>
          <w:color w:val="000000"/>
        </w:rPr>
        <w:t xml:space="preserve"> 2- тарау. Объективті өлшемшарттар</w:t>
      </w:r>
    </w:p>
    <w:bookmarkEnd w:id="11"/>
    <w:bookmarkStart w:name="z15" w:id="12"/>
    <w:p>
      <w:pPr>
        <w:spacing w:after="0"/>
        <w:ind w:left="0"/>
        <w:jc w:val="both"/>
      </w:pPr>
      <w:r>
        <w:rPr>
          <w:rFonts w:ascii="Times New Roman"/>
          <w:b w:val="false"/>
          <w:i w:val="false"/>
          <w:color w:val="000000"/>
          <w:sz w:val="28"/>
        </w:rPr>
        <w:t>
      4. Зергерлік және басқа да бұйымдарды өткізу саласында жоғары тәуекел дәрежесіне мынадай қызмет түрлерін жүзеге асыратын субъектілер (объектілер) жатады:</w:t>
      </w:r>
    </w:p>
    <w:bookmarkEnd w:id="12"/>
    <w:p>
      <w:pPr>
        <w:spacing w:after="0"/>
        <w:ind w:left="0"/>
        <w:jc w:val="both"/>
      </w:pPr>
      <w:r>
        <w:rPr>
          <w:rFonts w:ascii="Times New Roman"/>
          <w:b w:val="false"/>
          <w:i w:val="false"/>
          <w:color w:val="000000"/>
          <w:sz w:val="28"/>
        </w:rPr>
        <w:t>
      1) асыл тастарды,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әкету;</w:t>
      </w:r>
    </w:p>
    <w:p>
      <w:pPr>
        <w:spacing w:after="0"/>
        <w:ind w:left="0"/>
        <w:jc w:val="both"/>
      </w:pPr>
      <w:r>
        <w:rPr>
          <w:rFonts w:ascii="Times New Roman"/>
          <w:b w:val="false"/>
          <w:i w:val="false"/>
          <w:color w:val="000000"/>
          <w:sz w:val="28"/>
        </w:rPr>
        <w:t>
      2) Қазақстан Республикасының отандық өндірушісінің өнімдерін қоспағанда, зергерлік және басқа да бұйымдарды өткізу.</w:t>
      </w:r>
    </w:p>
    <w:bookmarkStart w:name="z16" w:id="13"/>
    <w:p>
      <w:pPr>
        <w:spacing w:after="0"/>
        <w:ind w:left="0"/>
        <w:jc w:val="both"/>
      </w:pPr>
      <w:r>
        <w:rPr>
          <w:rFonts w:ascii="Times New Roman"/>
          <w:b w:val="false"/>
          <w:i w:val="false"/>
          <w:color w:val="000000"/>
          <w:sz w:val="28"/>
        </w:rPr>
        <w:t>
      5. Жоғары тәуекел дәрежесіне жатқызылмаған тексерілетін субъектілерге бағалы металдар мен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хабарламалар тізіліміне сәйкес зергерлік және басқа да бұйымдарды өткізуді жүзеге асыратын субъектілер жатады.</w:t>
      </w:r>
    </w:p>
    <w:bookmarkEnd w:id="13"/>
    <w:bookmarkStart w:name="z17" w:id="14"/>
    <w:p>
      <w:pPr>
        <w:spacing w:after="0"/>
        <w:ind w:left="0"/>
        <w:jc w:val="both"/>
      </w:pPr>
      <w:r>
        <w:rPr>
          <w:rFonts w:ascii="Times New Roman"/>
          <w:b w:val="false"/>
          <w:i w:val="false"/>
          <w:color w:val="000000"/>
          <w:sz w:val="28"/>
        </w:rPr>
        <w:t>
      6. Объективті өлшемшарттар бойынша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14"/>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жоспардан тыс тексерулер және субъектіге (объектіге) бармай профилактикалық бақылау жүргізіледі.</w:t>
      </w:r>
    </w:p>
    <w:bookmarkStart w:name="z18" w:id="15"/>
    <w:p>
      <w:pPr>
        <w:spacing w:after="0"/>
        <w:ind w:left="0"/>
        <w:jc w:val="left"/>
      </w:pPr>
      <w:r>
        <w:rPr>
          <w:rFonts w:ascii="Times New Roman"/>
          <w:b/>
          <w:i w:val="false"/>
          <w:color w:val="000000"/>
        </w:rPr>
        <w:t xml:space="preserve"> 3-тарау. Субъективті өлшемшарттар</w:t>
      </w:r>
    </w:p>
    <w:bookmarkEnd w:id="15"/>
    <w:bookmarkStart w:name="z19" w:id="16"/>
    <w:p>
      <w:pPr>
        <w:spacing w:after="0"/>
        <w:ind w:left="0"/>
        <w:jc w:val="both"/>
      </w:pPr>
      <w:r>
        <w:rPr>
          <w:rFonts w:ascii="Times New Roman"/>
          <w:b w:val="false"/>
          <w:i w:val="false"/>
          <w:color w:val="000000"/>
          <w:sz w:val="28"/>
        </w:rPr>
        <w:t>
      7. Субъективті өлшемшарттарды айқындау мынадай кезеңдерде қолдана отырып жүзеге асырылады:</w:t>
      </w:r>
    </w:p>
    <w:bookmarkEnd w:id="1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0" w:id="17"/>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зергерлік және басқа да бұйымдарды өткізу саласындағы заңнамасын бұзатын бақылау субъектілерін (объектілерін) анықтау үшін қажет.</w:t>
      </w:r>
    </w:p>
    <w:bookmarkEnd w:id="17"/>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(бұзушылықтардың ауырлық дәрежесі, аталған талаптарды сақтамаған кезде белгіленеді);</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мемлекеттік органдардың ресми интернет-ресурстарын, бұқаралық ақпарат құралдарын, бар болған жағдайда бұзушылар рейтингтерін, зертханалық зерттеулер нәтижелері бойынша анықталған бұзушылықтар тізбесін талдау;</w:t>
      </w:r>
    </w:p>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нәтижелері;</w:t>
      </w:r>
    </w:p>
    <w:bookmarkStart w:name="z21" w:id="18"/>
    <w:p>
      <w:pPr>
        <w:spacing w:after="0"/>
        <w:ind w:left="0"/>
        <w:jc w:val="both"/>
      </w:pPr>
      <w:r>
        <w:rPr>
          <w:rFonts w:ascii="Times New Roman"/>
          <w:b w:val="false"/>
          <w:i w:val="false"/>
          <w:color w:val="000000"/>
          <w:sz w:val="28"/>
        </w:rPr>
        <w:t>
      9. Қолда бар ақпарат көздерінің негізінде осы Өлшемшарттарға қосымшаға сәйкес тәуекел дәрежесінің көрсеткіштері берілетін бағалы металдар мен асыл тастардан жасалған зергерлік және басқа да бұйымдарды өткізу саласында субъективті өлшемшарттар қалыптастырылады.</w:t>
      </w:r>
    </w:p>
    <w:bookmarkEnd w:id="18"/>
    <w:bookmarkStart w:name="z22" w:id="19"/>
    <w:p>
      <w:pPr>
        <w:spacing w:after="0"/>
        <w:ind w:left="0"/>
        <w:jc w:val="both"/>
      </w:pPr>
      <w:r>
        <w:rPr>
          <w:rFonts w:ascii="Times New Roman"/>
          <w:b w:val="false"/>
          <w:i w:val="false"/>
          <w:color w:val="000000"/>
          <w:sz w:val="28"/>
        </w:rPr>
        <w:t>
      10.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19"/>
    <w:bookmarkStart w:name="z23" w:id="20"/>
    <w:p>
      <w:pPr>
        <w:spacing w:after="0"/>
        <w:ind w:left="0"/>
        <w:jc w:val="both"/>
      </w:pPr>
      <w:r>
        <w:rPr>
          <w:rFonts w:ascii="Times New Roman"/>
          <w:b w:val="false"/>
          <w:i w:val="false"/>
          <w:color w:val="000000"/>
          <w:sz w:val="28"/>
        </w:rPr>
        <w:t>
      11. Тәуекел дәрежесін бағалау өлшемшарттары бұзушылықтың 3 дәрежесіне болып бөлінеді: өрескел, елеулі, болмашы.</w:t>
      </w:r>
    </w:p>
    <w:bookmarkEnd w:id="20"/>
    <w:bookmarkStart w:name="z24" w:id="21"/>
    <w:p>
      <w:pPr>
        <w:spacing w:after="0"/>
        <w:ind w:left="0"/>
        <w:jc w:val="both"/>
      </w:pPr>
      <w:r>
        <w:rPr>
          <w:rFonts w:ascii="Times New Roman"/>
          <w:b w:val="false"/>
          <w:i w:val="false"/>
          <w:color w:val="000000"/>
          <w:sz w:val="28"/>
        </w:rPr>
        <w:t>
      12.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21"/>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Елеулі бұзушылықтардың көрсеткішін анықтау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)х0,3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елеулсіз бұзушылықтардың саны;</w:t>
      </w:r>
    </w:p>
    <w:p>
      <w:pPr>
        <w:spacing w:after="0"/>
        <w:ind w:left="0"/>
        <w:jc w:val="both"/>
      </w:pPr>
      <w:r>
        <w:rPr>
          <w:rFonts w:ascii="Times New Roman"/>
          <w:b w:val="false"/>
          <w:i w:val="false"/>
          <w:color w:val="000000"/>
          <w:sz w:val="28"/>
        </w:rPr>
        <w:t xml:space="preserve">
      Тәуекел дәрежесінің жалпы көрсеткіші ( </w:t>
      </w:r>
      <w:r>
        <w:rPr>
          <w:rFonts w:ascii="Times New Roman"/>
          <w:b w:val="false"/>
          <w:i w:val="false"/>
          <w:color w:val="000000"/>
          <w:sz w:val="28"/>
        </w:rPr>
        <w:t>S</w:t>
      </w:r>
      <w:r>
        <w:rPr>
          <w:rFonts w:ascii="Times New Roman"/>
          <w:b w:val="false"/>
          <w:i w:val="false"/>
          <w:color w:val="000000"/>
          <w:sz w:val="28"/>
        </w:rPr>
        <w:t>Р) 0-ден 100-ге дейінгі шкала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bookmarkStart w:name="z25" w:id="22"/>
    <w:p>
      <w:pPr>
        <w:spacing w:after="0"/>
        <w:ind w:left="0"/>
        <w:jc w:val="both"/>
      </w:pPr>
      <w:r>
        <w:rPr>
          <w:rFonts w:ascii="Times New Roman"/>
          <w:b w:val="false"/>
          <w:i w:val="false"/>
          <w:color w:val="000000"/>
          <w:sz w:val="28"/>
        </w:rPr>
        <w:t>
      13. Тәуекел дәрежесінің көрсеткіштері бойынша бақылау субъекті (объекті) мыналарға жатады:</w:t>
      </w:r>
    </w:p>
    <w:bookmarkEnd w:id="22"/>
    <w:p>
      <w:pPr>
        <w:spacing w:after="0"/>
        <w:ind w:left="0"/>
        <w:jc w:val="both"/>
      </w:pPr>
      <w:r>
        <w:rPr>
          <w:rFonts w:ascii="Times New Roman"/>
          <w:b w:val="false"/>
          <w:i w:val="false"/>
          <w:color w:val="000000"/>
          <w:sz w:val="28"/>
        </w:rPr>
        <w:t>
      1) жоғары тәуекел дәрежесіне – 61-ден 100-ге дейін қоса алғанда тәуекел дәрежесінің көрсеткіші кезінде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жатқызылмағанға 0 – ден 60-қа дейін қоса алғанда тәуекел дәрежесінің көрсеткіші кезінде және оған қатысты бақылау субъектісіне (объектісіне) бару арқылы профилактикалық бақылау жүргізілмейді.</w:t>
      </w:r>
    </w:p>
    <w:bookmarkStart w:name="z26" w:id="23"/>
    <w:p>
      <w:pPr>
        <w:spacing w:after="0"/>
        <w:ind w:left="0"/>
        <w:jc w:val="left"/>
      </w:pPr>
      <w:r>
        <w:rPr>
          <w:rFonts w:ascii="Times New Roman"/>
          <w:b/>
          <w:i w:val="false"/>
          <w:color w:val="000000"/>
        </w:rPr>
        <w:t xml:space="preserve"> 4 - тарау. Қорытынды ережелер</w:t>
      </w:r>
    </w:p>
    <w:bookmarkEnd w:id="23"/>
    <w:bookmarkStart w:name="z27" w:id="24"/>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бақылауды жүргізу еселігі жүргізілетін талдау және тәуекелдің жоғары дәрежесіне жатқызылған субъектілерге қатысты субъективті өлшемшарттар бойынша алынатын мәліметтерді бағалау нәтижелері бойынша айқындалады, жылына бір рет.</w:t>
      </w:r>
    </w:p>
    <w:bookmarkEnd w:id="24"/>
    <w:bookmarkStart w:name="z28" w:id="25"/>
    <w:p>
      <w:pPr>
        <w:spacing w:after="0"/>
        <w:ind w:left="0"/>
        <w:jc w:val="both"/>
      </w:pPr>
      <w:r>
        <w:rPr>
          <w:rFonts w:ascii="Times New Roman"/>
          <w:b w:val="false"/>
          <w:i w:val="false"/>
          <w:color w:val="000000"/>
          <w:sz w:val="28"/>
        </w:rPr>
        <w:t xml:space="preserve">
      15. Бақылау субъектісіне (объектісіне) бару арқылы профилактикалық бақылау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25"/>
    <w:bookmarkStart w:name="z29" w:id="26"/>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бақылаудың тізімі субъективті өлшемшарттар бойынша тәуекел дәрежесінің ең жоғары көрсеткіші бар бақылау субъектісінің басымдығы ескеріле отырып жасалады.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1" w:id="27"/>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саласындағы субъективті өлшемшарттар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9916"/>
        <w:gridCol w:w="675"/>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субъектісіне (объектісіне) бармай профилактикалық бақылаудың нәтижелері;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тексерулер және бақылау субъектілеріне (объектілеріне) бару арқылы профилактикалық бақылаудың нәтижелері (бұзушылықтардың ауырлық дәрежесі, аталған талаптарды сақтамаған кезде белгіленеді)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таңбаның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барлық меншікті зергерлік және басқа да бұйымдарға қоятын атаулы таңба бедерінің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көз ретінде асыл емес тасты пайдалану туралы затбелгіде ақпараттың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тіркеуінің жоқтығы туралы мәліметтердің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сараптамалық қорытындысының жоқтығы туралы мәліметтердің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жоқтығы туралы мәліметтердің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 және саны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өткізу саласындағы расталған бір шағымның немесе өтініштің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өткізу саласында екі немесе одан да көп расталған шағымдардың немесе өтініштердің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ресми интернет-ресурстарын, бұқаралық ақпарат құралдарын, бар болған жағдайда "бұзушылар" рейтингтерін, зертханалық зерттеулер нәтижелері бойынша анықталған бұзушылықтар тізбесін талдау;</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өткізу саласындағы бұзушылықтар туралы мемлекеттік органдардың интернет-ресурстарында, бұқаралық ақпарат құралдарында, бар болған жағдайда "бұзушылар" рейтингтерінде, зертханалық зерттеулер нәтижелері бойынша анықталған бұзушылықтар тізбесінде ресми хабарламалардың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Уәкілетті органдар мен ұйымдар ұсынған мәліметтерді талдау нәтижелері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металдар мен асыл тастар туралы заңнамасының талаптарын бұзу туралы мәліметтердің болуы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88</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 тексеру парағы</w:t>
      </w:r>
    </w:p>
    <w:bookmarkEnd w:id="28"/>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бұйымдарды өткізуді жүзеге асыратын субъектіге (объектіге)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1089"/>
        <w:gridCol w:w="6852"/>
        <w:gridCol w:w="1089"/>
        <w:gridCol w:w="1090"/>
        <w:gridCol w:w="1090"/>
        <w:gridCol w:w="1090"/>
      </w:tblGrid>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таңбаның болуы</w:t>
            </w:r>
          </w:p>
        </w:tc>
        <w:tc>
          <w:tcPr>
            <w:tcW w:w="1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барлық меншікті зергерлік және басқа да бұйымдарға қоятын атаулы таңба бедерінің болуы</w:t>
            </w:r>
          </w:p>
        </w:tc>
        <w:tc>
          <w:tcPr>
            <w:tcW w:w="1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көз ретінде асыл емес тасты пайдалану туралы затбелгіде ақпараттың болуы</w:t>
            </w:r>
          </w:p>
        </w:tc>
        <w:tc>
          <w:tcPr>
            <w:tcW w:w="1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тіркеуінің жоқтығы туралы мәліметтердің болуы</w:t>
            </w:r>
          </w:p>
        </w:tc>
        <w:tc>
          <w:tcPr>
            <w:tcW w:w="1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сараптамалық қорытындысының жоқтығы туралы мәліметтердің болуы</w:t>
            </w:r>
          </w:p>
        </w:tc>
        <w:tc>
          <w:tcPr>
            <w:tcW w:w="1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жоқтығы туралы мәліметтердің болуы</w:t>
            </w:r>
          </w:p>
        </w:tc>
        <w:tc>
          <w:tcPr>
            <w:tcW w:w="10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w:t>
      </w:r>
    </w:p>
    <w:p>
      <w:pPr>
        <w:spacing w:after="0"/>
        <w:ind w:left="0"/>
        <w:jc w:val="both"/>
      </w:pPr>
      <w:r>
        <w:rPr>
          <w:rFonts w:ascii="Times New Roman"/>
          <w:b w:val="false"/>
          <w:i w:val="false"/>
          <w:color w:val="000000"/>
          <w:sz w:val="28"/>
        </w:rPr>
        <w:t>
      басшысы                  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