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40523" w14:textId="20405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ойын бизнес туралы заңнамасын сақтаудың тәуекел дәрежесін бағалау өлшемшарттарын және тексеру парақтарын бекіту туралы" Қазақстан Республикасы Мәдениет және спорт министрінің 2016 жылғы 8 тамыздағы № 227 және Қазақстан Республикасы Ұлттық экономика министрінің 2016 жылғы 17 тамыздағы № 373 бірлескен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Мәдениет және спорт министрінің 2018 жылғы 23 қарашадағы № 331 және Қазақстан Республикасы Ұлттық экономика министрінің м.а. 2018 жылғы 23 қарашадағы № 76 бірлескен бұйрығы. Қазақстан Республикасының Әділет министрлігінде 2018 жылғы 27 қарашада № 17799 болып тіркелді</w:t>
      </w:r>
    </w:p>
    <w:p>
      <w:pPr>
        <w:spacing w:after="0"/>
        <w:ind w:left="0"/>
        <w:jc w:val="both"/>
      </w:pPr>
      <w:bookmarkStart w:name="z1" w:id="0"/>
      <w:r>
        <w:rPr>
          <w:rFonts w:ascii="Times New Roman"/>
          <w:b w:val="false"/>
          <w:i w:val="false"/>
          <w:color w:val="000000"/>
          <w:sz w:val="28"/>
        </w:rPr>
        <w:t>
      БҰЙЫРАМЫЗ:</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ойын бизнесі туралы заңнамасын сақтаудың тәуекел дәрежесін бағалау өлшемшарттарын және тексеру парақтарын бекіту туралы" Қазақстан Республикасы Мәдениет және спорт министрінің 2016 жылғы 8 тамыздағы № 227 және Қазақстан Республикасы Ұлттық экономика министрінің 2016 жылғы 17 тамыздағы № 373 бірлескен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14313 болып тіркелген, "Әділет" ақпараттық-құқықтық жүйесінде 2016 жылғы 21 қазанда жарияланған)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бірінші бөлігі</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"1. Мыналар:</w:t>
      </w:r>
    </w:p>
    <w:bookmarkEnd w:id="2"/>
    <w:bookmarkStart w:name="z5" w:id="3"/>
    <w:p>
      <w:pPr>
        <w:spacing w:after="0"/>
        <w:ind w:left="0"/>
        <w:jc w:val="both"/>
      </w:pPr>
      <w:r>
        <w:rPr>
          <w:rFonts w:ascii="Times New Roman"/>
          <w:b w:val="false"/>
          <w:i w:val="false"/>
          <w:color w:val="000000"/>
          <w:sz w:val="28"/>
        </w:rPr>
        <w:t xml:space="preserve">
      1) осы бірлескен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Республикасының ойын бизнесі туралы заңнамасын сақтаудың тәуекел дәрежесін бағалау өлшемшарттары; </w:t>
      </w:r>
    </w:p>
    <w:bookmarkEnd w:id="3"/>
    <w:bookmarkStart w:name="z6" w:id="4"/>
    <w:p>
      <w:pPr>
        <w:spacing w:after="0"/>
        <w:ind w:left="0"/>
        <w:jc w:val="both"/>
      </w:pPr>
      <w:r>
        <w:rPr>
          <w:rFonts w:ascii="Times New Roman"/>
          <w:b w:val="false"/>
          <w:i w:val="false"/>
          <w:color w:val="000000"/>
          <w:sz w:val="28"/>
        </w:rPr>
        <w:t xml:space="preserve">
      2) осы бірлескен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казино қызметін жүзеге асыратын ойын бизнесін ұйымдастырушылардың Қазақстан Республикасының ойын бизнесі туралы заңнамасын сақтаудың мемлекеттік бақылау саласындағы тексеру парағы; </w:t>
      </w:r>
    </w:p>
    <w:bookmarkEnd w:id="4"/>
    <w:bookmarkStart w:name="z7" w:id="5"/>
    <w:p>
      <w:pPr>
        <w:spacing w:after="0"/>
        <w:ind w:left="0"/>
        <w:jc w:val="both"/>
      </w:pPr>
      <w:r>
        <w:rPr>
          <w:rFonts w:ascii="Times New Roman"/>
          <w:b w:val="false"/>
          <w:i w:val="false"/>
          <w:color w:val="000000"/>
          <w:sz w:val="28"/>
        </w:rPr>
        <w:t xml:space="preserve">
      3) осы бірлескен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ойын автоматтары залдарының қызметін жүзеге асыратын ойын бизнесін ұйымдастырушылардың Қазақстан Республикасының ойын бизнесі туралы заңнамасын сақтаудың мемлекеттік бақылау саласындағы тексеру парағы; </w:t>
      </w:r>
    </w:p>
    <w:bookmarkEnd w:id="5"/>
    <w:bookmarkStart w:name="z8" w:id="6"/>
    <w:p>
      <w:pPr>
        <w:spacing w:after="0"/>
        <w:ind w:left="0"/>
        <w:jc w:val="both"/>
      </w:pPr>
      <w:r>
        <w:rPr>
          <w:rFonts w:ascii="Times New Roman"/>
          <w:b w:val="false"/>
          <w:i w:val="false"/>
          <w:color w:val="000000"/>
          <w:sz w:val="28"/>
        </w:rPr>
        <w:t>
      4) осы бірлескен бұйрыққа 4-қосымшаға сәйкес букмекерлік кеңселер қызметін жүзеге асыратын ойын бизнесін ұйымдастырушылардың Қазақстан Республикасының ойын бизнесі туралы заңнамасын сақтаудың мемлекеттік бақылау саласындағы тексеру парағы;</w:t>
      </w:r>
    </w:p>
    <w:bookmarkEnd w:id="6"/>
    <w:bookmarkStart w:name="z9" w:id="7"/>
    <w:p>
      <w:pPr>
        <w:spacing w:after="0"/>
        <w:ind w:left="0"/>
        <w:jc w:val="both"/>
      </w:pPr>
      <w:r>
        <w:rPr>
          <w:rFonts w:ascii="Times New Roman"/>
          <w:b w:val="false"/>
          <w:i w:val="false"/>
          <w:color w:val="000000"/>
          <w:sz w:val="28"/>
        </w:rPr>
        <w:t>
      5) осы бірлескен бұйрыққа 5-қосымшаға сәйкес тотализаторлар қызметін жүзеге асыратын ойын бизнесін ұйымдастырушылардың Қазақстан Республикасының ойын бизнесі туралы заңнамасын сақтаудың мемлекеттік бақылау саласындағы тексеру парағы бекітілсін.";</w:t>
      </w:r>
    </w:p>
    <w:bookmarkEnd w:id="7"/>
    <w:bookmarkStart w:name="z10" w:id="8"/>
    <w:p>
      <w:pPr>
        <w:spacing w:after="0"/>
        <w:ind w:left="0"/>
        <w:jc w:val="both"/>
      </w:pPr>
      <w:r>
        <w:rPr>
          <w:rFonts w:ascii="Times New Roman"/>
          <w:b w:val="false"/>
          <w:i w:val="false"/>
          <w:color w:val="000000"/>
          <w:sz w:val="28"/>
        </w:rPr>
        <w:t xml:space="preserve">
      көрсетілген бірлескен бұйрықпен бекітілген </w:t>
      </w:r>
      <w:r>
        <w:rPr>
          <w:rFonts w:ascii="Times New Roman"/>
          <w:b w:val="false"/>
          <w:i w:val="false"/>
          <w:color w:val="000000"/>
          <w:sz w:val="28"/>
        </w:rPr>
        <w:t>1-қосымша</w:t>
      </w:r>
      <w:r>
        <w:rPr>
          <w:rFonts w:ascii="Times New Roman"/>
          <w:b w:val="false"/>
          <w:i w:val="false"/>
          <w:color w:val="000000"/>
          <w:sz w:val="28"/>
        </w:rPr>
        <w:t xml:space="preserve"> осы бірлескен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bookmarkEnd w:id="8"/>
    <w:bookmarkStart w:name="z11" w:id="9"/>
    <w:p>
      <w:pPr>
        <w:spacing w:after="0"/>
        <w:ind w:left="0"/>
        <w:jc w:val="both"/>
      </w:pPr>
      <w:r>
        <w:rPr>
          <w:rFonts w:ascii="Times New Roman"/>
          <w:b w:val="false"/>
          <w:i w:val="false"/>
          <w:color w:val="000000"/>
          <w:sz w:val="28"/>
        </w:rPr>
        <w:t xml:space="preserve">
      көрсетілген бірлескен бұйрықпен бекітілген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w:t>
      </w:r>
      <w:r>
        <w:rPr>
          <w:rFonts w:ascii="Times New Roman"/>
          <w:b w:val="false"/>
          <w:i w:val="false"/>
          <w:color w:val="000000"/>
          <w:sz w:val="28"/>
        </w:rPr>
        <w:t xml:space="preserve"> осы бірлескен бұйрыққа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редакцияда жазылсын; </w:t>
      </w:r>
    </w:p>
    <w:bookmarkEnd w:id="9"/>
    <w:bookmarkStart w:name="z12" w:id="10"/>
    <w:p>
      <w:pPr>
        <w:spacing w:after="0"/>
        <w:ind w:left="0"/>
        <w:jc w:val="both"/>
      </w:pPr>
      <w:r>
        <w:rPr>
          <w:rFonts w:ascii="Times New Roman"/>
          <w:b w:val="false"/>
          <w:i w:val="false"/>
          <w:color w:val="000000"/>
          <w:sz w:val="28"/>
        </w:rPr>
        <w:t xml:space="preserve">
      осы бірлескен бұйрыққа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5-қосымшаларға</w:t>
      </w:r>
      <w:r>
        <w:rPr>
          <w:rFonts w:ascii="Times New Roman"/>
          <w:b w:val="false"/>
          <w:i w:val="false"/>
          <w:color w:val="000000"/>
          <w:sz w:val="28"/>
        </w:rPr>
        <w:t xml:space="preserve"> сәйкес 4 және 5-қосымшалармен толықтырылсын. </w:t>
      </w:r>
    </w:p>
    <w:bookmarkEnd w:id="10"/>
    <w:bookmarkStart w:name="z13" w:id="11"/>
    <w:p>
      <w:pPr>
        <w:spacing w:after="0"/>
        <w:ind w:left="0"/>
        <w:jc w:val="both"/>
      </w:pPr>
      <w:r>
        <w:rPr>
          <w:rFonts w:ascii="Times New Roman"/>
          <w:b w:val="false"/>
          <w:i w:val="false"/>
          <w:color w:val="000000"/>
          <w:sz w:val="28"/>
        </w:rPr>
        <w:t>
      2. Қазақстан Республикасы Мәдениет және спорт министрлігінің Спорт және дене шынықтыру істері комитеті заңнамада белгіленген тәртіппен:</w:t>
      </w:r>
    </w:p>
    <w:bookmarkEnd w:id="11"/>
    <w:bookmarkStart w:name="z14" w:id="12"/>
    <w:p>
      <w:pPr>
        <w:spacing w:after="0"/>
        <w:ind w:left="0"/>
        <w:jc w:val="both"/>
      </w:pPr>
      <w:r>
        <w:rPr>
          <w:rFonts w:ascii="Times New Roman"/>
          <w:b w:val="false"/>
          <w:i w:val="false"/>
          <w:color w:val="000000"/>
          <w:sz w:val="28"/>
        </w:rPr>
        <w:t>
      1) осы бірлескен бұйрықты Қазақстан Республикасы Әдiлет министрлiгiнде мемлекеттiк тiркеуді;</w:t>
      </w:r>
    </w:p>
    <w:bookmarkEnd w:id="12"/>
    <w:bookmarkStart w:name="z15" w:id="13"/>
    <w:p>
      <w:pPr>
        <w:spacing w:after="0"/>
        <w:ind w:left="0"/>
        <w:jc w:val="both"/>
      </w:pPr>
      <w:r>
        <w:rPr>
          <w:rFonts w:ascii="Times New Roman"/>
          <w:b w:val="false"/>
          <w:i w:val="false"/>
          <w:color w:val="000000"/>
          <w:sz w:val="28"/>
        </w:rPr>
        <w:t>
      2) осы бірлескен бұйрықты мемлекеттік тіркелген күннен бастап күнтізбелік он күн ішінде оны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13"/>
    <w:bookmarkStart w:name="z16" w:id="14"/>
    <w:p>
      <w:pPr>
        <w:spacing w:after="0"/>
        <w:ind w:left="0"/>
        <w:jc w:val="both"/>
      </w:pPr>
      <w:r>
        <w:rPr>
          <w:rFonts w:ascii="Times New Roman"/>
          <w:b w:val="false"/>
          <w:i w:val="false"/>
          <w:color w:val="000000"/>
          <w:sz w:val="28"/>
        </w:rPr>
        <w:t>
      3) қолданысқа енген күннен кейін екі жұмыс күні ішінде Қазақстан Республикасы Мәдениет және спорт министрлігінің интернет-ресурсында орналастыруды;</w:t>
      </w:r>
    </w:p>
    <w:bookmarkEnd w:id="14"/>
    <w:bookmarkStart w:name="z17" w:id="15"/>
    <w:p>
      <w:pPr>
        <w:spacing w:after="0"/>
        <w:ind w:left="0"/>
        <w:jc w:val="both"/>
      </w:pPr>
      <w:r>
        <w:rPr>
          <w:rFonts w:ascii="Times New Roman"/>
          <w:b w:val="false"/>
          <w:i w:val="false"/>
          <w:color w:val="000000"/>
          <w:sz w:val="28"/>
        </w:rPr>
        <w:t>
      4) осы бірлескен бұйрықта көзделген іс-шаралар орындалғаннан кейін екі жұмыс күні ішінде Қазақстан Республикасы Мәдениет және спорт министрлігінің Заң қызметі департаментіне іс-шаралардың орындалуы туралы мәліметтерді ұсынуды қамтамасыз етсін.</w:t>
      </w:r>
    </w:p>
    <w:bookmarkEnd w:id="15"/>
    <w:bookmarkStart w:name="z18" w:id="16"/>
    <w:p>
      <w:pPr>
        <w:spacing w:after="0"/>
        <w:ind w:left="0"/>
        <w:jc w:val="both"/>
      </w:pPr>
      <w:r>
        <w:rPr>
          <w:rFonts w:ascii="Times New Roman"/>
          <w:b w:val="false"/>
          <w:i w:val="false"/>
          <w:color w:val="000000"/>
          <w:sz w:val="28"/>
        </w:rPr>
        <w:t>
      3. Осы бірлескен бұйрықтың орындалуын бақылау жетекшілік ететін Қазақстан Республикасы Мәдениет және спорт вице-министріне жүктелсін.</w:t>
      </w:r>
    </w:p>
    <w:bookmarkEnd w:id="16"/>
    <w:bookmarkStart w:name="z19" w:id="17"/>
    <w:p>
      <w:pPr>
        <w:spacing w:after="0"/>
        <w:ind w:left="0"/>
        <w:jc w:val="both"/>
      </w:pPr>
      <w:r>
        <w:rPr>
          <w:rFonts w:ascii="Times New Roman"/>
          <w:b w:val="false"/>
          <w:i w:val="false"/>
          <w:color w:val="000000"/>
          <w:sz w:val="28"/>
        </w:rPr>
        <w:t>
      4. Осы бірлескен бұйрық алғашқы ресми жарияланған күнінен кейін күнтізбелік он күн өткен соң қолданысқа енгізіледі.</w:t>
      </w:r>
    </w:p>
    <w:bookmarkEnd w:id="17"/>
    <w:tbl>
      <w:tblPr>
        <w:tblW w:w="0" w:type="auto"/>
        <w:tblCellSpacing w:w="0" w:type="auto"/>
        <w:tblBorders>
          <w:top w:val="none"/>
          <w:left w:val="none"/>
          <w:bottom w:val="none"/>
          <w:right w:val="none"/>
          <w:insideH w:val="none"/>
          <w:insideV w:val="none"/>
        </w:tblBorders>
      </w:tblPr>
      <w:tblGrid>
        <w:gridCol w:w="7731"/>
        <w:gridCol w:w="4269"/>
      </w:tblGrid>
      <w:tr>
        <w:trPr>
          <w:trHeight w:val="30" w:hRule="atLeast"/>
        </w:trPr>
        <w:tc>
          <w:tcPr>
            <w:tcW w:w="773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rPr>
                <w:rFonts w:ascii="Times New Roman"/>
                <w:b w:val="false"/>
                <w:i w:val="false"/>
                <w:color w:val="000000"/>
                <w:sz w:val="20"/>
              </w:rPr>
              <w:t>
</w:t>
            </w:r>
          </w:p>
        </w:tc>
      </w:tr>
      <w:tr>
        <w:trPr>
          <w:trHeight w:val="30" w:hRule="atLeast"/>
        </w:trPr>
        <w:tc>
          <w:tcPr>
            <w:tcW w:w="773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Мәдениет және спорт министрі </w:t>
            </w:r>
            <w:r>
              <w:rPr>
                <w:rFonts w:ascii="Times New Roman"/>
                <w:b w:val="false"/>
                <w:i w:val="false"/>
                <w:color w:val="000000"/>
                <w:sz w:val="20"/>
              </w:rPr>
              <w:t>
</w:t>
            </w:r>
          </w:p>
        </w:tc>
        <w:tc>
          <w:tcPr>
            <w:tcW w:w="426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_________________А. Мұхамедиұлы</w:t>
            </w:r>
            <w:r>
              <w:rPr>
                <w:rFonts w:ascii="Times New Roman"/>
                <w:b w:val="false"/>
                <w:i w:val="false"/>
                <w:color w:val="000000"/>
                <w:sz w:val="20"/>
              </w:rPr>
              <w:t>
</w:t>
            </w:r>
          </w:p>
        </w:tc>
      </w:tr>
      <w:tr>
        <w:trPr>
          <w:trHeight w:val="30" w:hRule="atLeast"/>
        </w:trPr>
        <w:tc>
          <w:tcPr>
            <w:tcW w:w="773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 Ұлттық</w:t>
            </w:r>
            <w:r>
              <w:rPr>
                <w:rFonts w:ascii="Times New Roman"/>
                <w:b w:val="false"/>
                <w:i w:val="false"/>
                <w:color w:val="000000"/>
                <w:sz w:val="20"/>
              </w:rPr>
              <w:t>
</w:t>
            </w:r>
          </w:p>
        </w:tc>
      </w:tr>
      <w:tr>
        <w:trPr>
          <w:trHeight w:val="30" w:hRule="atLeast"/>
        </w:trPr>
        <w:tc>
          <w:tcPr>
            <w:tcW w:w="773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экономика министрінің</w:t>
            </w:r>
            <w:r>
              <w:rPr>
                <w:rFonts w:ascii="Times New Roman"/>
                <w:b w:val="false"/>
                <w:i w:val="false"/>
                <w:color w:val="000000"/>
                <w:sz w:val="20"/>
              </w:rPr>
              <w:t>
</w:t>
            </w:r>
          </w:p>
        </w:tc>
      </w:tr>
      <w:tr>
        <w:trPr>
          <w:trHeight w:val="30" w:hRule="atLeast"/>
        </w:trPr>
        <w:tc>
          <w:tcPr>
            <w:tcW w:w="773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міндетін атқарушы </w:t>
            </w:r>
            <w:r>
              <w:rPr>
                <w:rFonts w:ascii="Times New Roman"/>
                <w:b w:val="false"/>
                <w:i w:val="false"/>
                <w:color w:val="000000"/>
                <w:sz w:val="20"/>
              </w:rPr>
              <w:t>
</w:t>
            </w:r>
          </w:p>
        </w:tc>
        <w:tc>
          <w:tcPr>
            <w:tcW w:w="426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___________________ Р. Дәленов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Бас прокуратурасының</w:t>
      </w:r>
    </w:p>
    <w:p>
      <w:pPr>
        <w:spacing w:after="0"/>
        <w:ind w:left="0"/>
        <w:jc w:val="both"/>
      </w:pPr>
      <w:r>
        <w:rPr>
          <w:rFonts w:ascii="Times New Roman"/>
          <w:b w:val="false"/>
          <w:i w:val="false"/>
          <w:color w:val="000000"/>
          <w:sz w:val="28"/>
        </w:rPr>
        <w:t>
      Құқықтық статистика және</w:t>
      </w:r>
    </w:p>
    <w:p>
      <w:pPr>
        <w:spacing w:after="0"/>
        <w:ind w:left="0"/>
        <w:jc w:val="both"/>
      </w:pPr>
      <w:r>
        <w:rPr>
          <w:rFonts w:ascii="Times New Roman"/>
          <w:b w:val="false"/>
          <w:i w:val="false"/>
          <w:color w:val="000000"/>
          <w:sz w:val="28"/>
        </w:rPr>
        <w:t>
      арнайы есепке алу жөніндегі</w:t>
      </w:r>
    </w:p>
    <w:p>
      <w:pPr>
        <w:spacing w:after="0"/>
        <w:ind w:left="0"/>
        <w:jc w:val="both"/>
      </w:pPr>
      <w:r>
        <w:rPr>
          <w:rFonts w:ascii="Times New Roman"/>
          <w:b w:val="false"/>
          <w:i w:val="false"/>
          <w:color w:val="000000"/>
          <w:sz w:val="28"/>
        </w:rPr>
        <w:t>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Мәдениет және спорт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23 қарашадағы № 331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экономика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міндетін атқарушынің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23 қарашадағы № 76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Мәдениет және спорт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8 тамыздағы № 227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экономика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17 тамыздағы№ 373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21" w:id="18"/>
    <w:p>
      <w:pPr>
        <w:spacing w:after="0"/>
        <w:ind w:left="0"/>
        <w:jc w:val="left"/>
      </w:pPr>
      <w:r>
        <w:rPr>
          <w:rFonts w:ascii="Times New Roman"/>
          <w:b/>
          <w:i w:val="false"/>
          <w:color w:val="000000"/>
        </w:rPr>
        <w:t xml:space="preserve"> Қазақстан Республикасының ойын бизнесі туралы заңнамасын сақтаудың тәуекел дәрежесін бағалау өлшемшарттары</w:t>
      </w:r>
    </w:p>
    <w:bookmarkEnd w:id="18"/>
    <w:bookmarkStart w:name="z22" w:id="19"/>
    <w:p>
      <w:pPr>
        <w:spacing w:after="0"/>
        <w:ind w:left="0"/>
        <w:jc w:val="left"/>
      </w:pPr>
      <w:r>
        <w:rPr>
          <w:rFonts w:ascii="Times New Roman"/>
          <w:b/>
          <w:i w:val="false"/>
          <w:color w:val="000000"/>
        </w:rPr>
        <w:t xml:space="preserve"> 1-тарау. Жалпы ережелер</w:t>
      </w:r>
    </w:p>
    <w:bookmarkEnd w:id="19"/>
    <w:bookmarkStart w:name="z23" w:id="20"/>
    <w:p>
      <w:pPr>
        <w:spacing w:after="0"/>
        <w:ind w:left="0"/>
        <w:jc w:val="both"/>
      </w:pPr>
      <w:r>
        <w:rPr>
          <w:rFonts w:ascii="Times New Roman"/>
          <w:b w:val="false"/>
          <w:i w:val="false"/>
          <w:color w:val="000000"/>
          <w:sz w:val="28"/>
        </w:rPr>
        <w:t xml:space="preserve">
      1. 2015 жылғы 29 қазандағы Қазақстан Республикасы Кәсіпкерлік кодексінің (бұдан әрі – Кодекс) 141-бабының </w:t>
      </w:r>
      <w:r>
        <w:rPr>
          <w:rFonts w:ascii="Times New Roman"/>
          <w:b w:val="false"/>
          <w:i w:val="false"/>
          <w:color w:val="000000"/>
          <w:sz w:val="28"/>
        </w:rPr>
        <w:t>3-тармағына</w:t>
      </w:r>
      <w:r>
        <w:rPr>
          <w:rFonts w:ascii="Times New Roman"/>
          <w:b w:val="false"/>
          <w:i w:val="false"/>
          <w:color w:val="000000"/>
          <w:sz w:val="28"/>
        </w:rPr>
        <w:t xml:space="preserve"> және 143-бабының </w:t>
      </w:r>
      <w:r>
        <w:rPr>
          <w:rFonts w:ascii="Times New Roman"/>
          <w:b w:val="false"/>
          <w:i w:val="false"/>
          <w:color w:val="000000"/>
          <w:sz w:val="28"/>
        </w:rPr>
        <w:t>1-тармағына</w:t>
      </w:r>
      <w:r>
        <w:rPr>
          <w:rFonts w:ascii="Times New Roman"/>
          <w:b w:val="false"/>
          <w:i w:val="false"/>
          <w:color w:val="000000"/>
          <w:sz w:val="28"/>
        </w:rPr>
        <w:t xml:space="preserve"> сәйкес, және Қазақстан Республикасы Ұлттық экономика министрінің міндетін атқарушысының 2018 жылғы 31 шілдедегі № 3 (Нормативтік құқықтық актілерді мемлекеттік тіркеу тізілімінде № 17371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Мемлекеттік органдардың тәуекелдерді бағалау жүйесін қалыптастыру қағидалары және тексеру парақтарының нысанына сәйкес Қазақстан Республикасының ойын бизнесі туралы заңнамасын сақтаудың тәуекел дәрежесін бағалау өлшемшарттары (бұдан әрі – Өлшемшарттар) ойын бизнесі саласындағы уәкілетті органның (бұдан әрі – уәкілетті орган) бақылау субъектісіне (объектісіне) бару арқылы профилактикалық бақылаумен жүргізу мақсатында тексерілетін субъектілерді (объектілерді) іріктеуге арналған.</w:t>
      </w:r>
    </w:p>
    <w:bookmarkEnd w:id="20"/>
    <w:bookmarkStart w:name="z24" w:id="21"/>
    <w:p>
      <w:pPr>
        <w:spacing w:after="0"/>
        <w:ind w:left="0"/>
        <w:jc w:val="both"/>
      </w:pPr>
      <w:r>
        <w:rPr>
          <w:rFonts w:ascii="Times New Roman"/>
          <w:b w:val="false"/>
          <w:i w:val="false"/>
          <w:color w:val="000000"/>
          <w:sz w:val="28"/>
        </w:rPr>
        <w:t>
      2. Осы Өлшемшарттарда мына ұғымдар пайдаланылған:</w:t>
      </w:r>
    </w:p>
    <w:bookmarkEnd w:id="21"/>
    <w:bookmarkStart w:name="z25" w:id="22"/>
    <w:p>
      <w:pPr>
        <w:spacing w:after="0"/>
        <w:ind w:left="0"/>
        <w:jc w:val="both"/>
      </w:pPr>
      <w:r>
        <w:rPr>
          <w:rFonts w:ascii="Times New Roman"/>
          <w:b w:val="false"/>
          <w:i w:val="false"/>
          <w:color w:val="000000"/>
          <w:sz w:val="28"/>
        </w:rPr>
        <w:t>
      1) бақылау объектілері – мемлекеттік бақылау субъектiсінде меншік құқығымен немесе өзге де заңды негізде болатын, мемлекеттік бақылауға жататын мүлік мемлекеттік бақылау объектісі болып табылады;</w:t>
      </w:r>
    </w:p>
    <w:bookmarkEnd w:id="22"/>
    <w:bookmarkStart w:name="z26" w:id="23"/>
    <w:p>
      <w:pPr>
        <w:spacing w:after="0"/>
        <w:ind w:left="0"/>
        <w:jc w:val="both"/>
      </w:pPr>
      <w:r>
        <w:rPr>
          <w:rFonts w:ascii="Times New Roman"/>
          <w:b w:val="false"/>
          <w:i w:val="false"/>
          <w:color w:val="000000"/>
          <w:sz w:val="28"/>
        </w:rPr>
        <w:t>
      2) бақылау субъектілері – қызметіне бақылау жүзеге асырылатын казино, ойын автоматтарының залдары, букмекерлік кеңселер, тотализаторлар қызметін жүзеге асыратын жеке тұлғалар (ойын бизнесі саласындағы лицензия қолданысының мерзімі өткенге дейін), заңды тұлғалар;</w:t>
      </w:r>
    </w:p>
    <w:bookmarkEnd w:id="23"/>
    <w:bookmarkStart w:name="z27" w:id="24"/>
    <w:p>
      <w:pPr>
        <w:spacing w:after="0"/>
        <w:ind w:left="0"/>
        <w:jc w:val="both"/>
      </w:pPr>
      <w:r>
        <w:rPr>
          <w:rFonts w:ascii="Times New Roman"/>
          <w:b w:val="false"/>
          <w:i w:val="false"/>
          <w:color w:val="000000"/>
          <w:sz w:val="28"/>
        </w:rPr>
        <w:t xml:space="preserve">
      3) болмашы бұзушылықтар – елеусіз бұзушылықтар – "Ойын бизнесі туралы" 2007 жылғы 12 қаңтардағы Қазақстан Республикасы </w:t>
      </w:r>
      <w:r>
        <w:rPr>
          <w:rFonts w:ascii="Times New Roman"/>
          <w:b w:val="false"/>
          <w:i w:val="false"/>
          <w:color w:val="000000"/>
          <w:sz w:val="28"/>
        </w:rPr>
        <w:t>Заңның</w:t>
      </w:r>
      <w:r>
        <w:rPr>
          <w:rFonts w:ascii="Times New Roman"/>
          <w:b w:val="false"/>
          <w:i w:val="false"/>
          <w:color w:val="000000"/>
          <w:sz w:val="28"/>
        </w:rPr>
        <w:t xml:space="preserve"> (бұдан әрі – Заң) қолданылатын заңдастырылған белгілер мен номинацияларының болуы бойынша, ойын мекемесінің жұмыс істеуі қағидаларын белгілеу, Қазақстан Республикасының заңнамасында белгіленген тәртіппен күзет қызметін жүзеге асыруға лицензия алған жеке немесе заңды тұлғалармен шарттардың болуы жөніндегі мәліметтерді ұсыну жөніндегі талаптарын сақтамауға байланысты бұзушылықтар;</w:t>
      </w:r>
    </w:p>
    <w:bookmarkEnd w:id="24"/>
    <w:bookmarkStart w:name="z28" w:id="25"/>
    <w:p>
      <w:pPr>
        <w:spacing w:after="0"/>
        <w:ind w:left="0"/>
        <w:jc w:val="both"/>
      </w:pPr>
      <w:r>
        <w:rPr>
          <w:rFonts w:ascii="Times New Roman"/>
          <w:b w:val="false"/>
          <w:i w:val="false"/>
          <w:color w:val="000000"/>
          <w:sz w:val="28"/>
        </w:rPr>
        <w:t>
      4) елеулі бұзушылықтар-ойын үстелдерін, ойын автоматтарын, бәс тігуді ұйымдастыру және өткізуге арналған жабдықтарды болуы бойынша, ойын автоматына технологиялық салынған ұтыстың белгіленген пайызын, ойын жабдығының, аппараттық-бағдарламалық кешеннің, бейнежазу жүйелерінің болуын орнатуға қатысты, ойын автоматтарын немесе олардың бөліктерін қабырғаларға, терезе мен есіктер ойықтарына монтаждауға тыйым салу бойынша Заңның талаптарын сақтамауға байланысты бұзушылықтар;</w:t>
      </w:r>
    </w:p>
    <w:bookmarkEnd w:id="25"/>
    <w:bookmarkStart w:name="z29" w:id="26"/>
    <w:p>
      <w:pPr>
        <w:spacing w:after="0"/>
        <w:ind w:left="0"/>
        <w:jc w:val="both"/>
      </w:pPr>
      <w:r>
        <w:rPr>
          <w:rFonts w:ascii="Times New Roman"/>
          <w:b w:val="false"/>
          <w:i w:val="false"/>
          <w:color w:val="000000"/>
          <w:sz w:val="28"/>
        </w:rPr>
        <w:t>
      5) өрескел бұзушылықтар – міндетті резервтің болуы, ғимараттардың болуы (ғимарат, құрылыс, үй-жай бөлігі) бойынша, жиырма бір жасқа дейінгі Қазақстан Республикасы азаматтарының құмар ойындарына және (немесе) бәс тігуге қатысуына тыйым салу, ойын мекемелерінің орналасуы бойынша, мөлшерлемелер қабылдау бойынша, аппараттық-бағдарламалық кешен серверіне қойылатын талаптар, қылмыстық жолмен алынған кірістерді заңдастыруға (жылыстатуға) және терроризмді қаржыландыруға қарсы іс-қимыл туралы Қазақстан Республикасы заңнамасын сақтау, мемлекеттік органдардан түскен мәліметтердің болуы бойынша, жеке және заңды тұлғалардан расталған шағымдар мен өтініштер, бақылау субъектісіне (объектісіне) бармай профилактикалық бақылау нәтижелері бойынша анықталған бұзушылықтарды жою туралы ұсынымдарды белгіленген мерзімде орындамау туралы мәліметтерді ұсыну бойынша Заңның талаптарын сақтамауға байланысты бұзушылықтар;</w:t>
      </w:r>
    </w:p>
    <w:bookmarkEnd w:id="26"/>
    <w:bookmarkStart w:name="z30" w:id="27"/>
    <w:p>
      <w:pPr>
        <w:spacing w:after="0"/>
        <w:ind w:left="0"/>
        <w:jc w:val="both"/>
      </w:pPr>
      <w:r>
        <w:rPr>
          <w:rFonts w:ascii="Times New Roman"/>
          <w:b w:val="false"/>
          <w:i w:val="false"/>
          <w:color w:val="000000"/>
          <w:sz w:val="28"/>
        </w:rPr>
        <w:t xml:space="preserve">
      6) тәуекел – бақылау субъектісінің қызметі нәтижесінде қоршаған ортаға, жеке және заңды тұлғалардың заңды мүдделеріне, мемлекеттің мүліктік мүдделеріне салдарларының ауырлық дәрежесін ескере отырып зиян келтіру ықтималдығы; </w:t>
      </w:r>
    </w:p>
    <w:bookmarkEnd w:id="27"/>
    <w:bookmarkStart w:name="z31" w:id="28"/>
    <w:p>
      <w:pPr>
        <w:spacing w:after="0"/>
        <w:ind w:left="0"/>
        <w:jc w:val="both"/>
      </w:pPr>
      <w:r>
        <w:rPr>
          <w:rFonts w:ascii="Times New Roman"/>
          <w:b w:val="false"/>
          <w:i w:val="false"/>
          <w:color w:val="000000"/>
          <w:sz w:val="28"/>
        </w:rPr>
        <w:t>
      7) тәуекел дәрежесін бағалаудың объективті өлшемшарттары (бұдан әрі – объективті өлшемшарттар) – ойын бизнесі саласында тәуекел дәрежесіне байланысты және жеке бақылау субъектісіне (объектісіне) тікелей байланыссыз бақылау субъектілерін (объектілерін) іріктеу үшін пайдаланылатын тәуекел дәрежесін бағалау өлшемшарттары;</w:t>
      </w:r>
    </w:p>
    <w:bookmarkEnd w:id="28"/>
    <w:bookmarkStart w:name="z32" w:id="29"/>
    <w:p>
      <w:pPr>
        <w:spacing w:after="0"/>
        <w:ind w:left="0"/>
        <w:jc w:val="both"/>
      </w:pPr>
      <w:r>
        <w:rPr>
          <w:rFonts w:ascii="Times New Roman"/>
          <w:b w:val="false"/>
          <w:i w:val="false"/>
          <w:color w:val="000000"/>
          <w:sz w:val="28"/>
        </w:rPr>
        <w:t xml:space="preserve">
      8) тәуекел дәрежесін бағалаудың субъективті өлшемшарттары (бұдан әрі -субъективті өлшемшарттар) – нақты бақылау субъектісінің (объектісінің) қызметі нәтижелеріне байланысты бақылау субъектілерін (объектілерін) іріктеу үшін пайдаланылатын тәуекел дәрежесін бағалау өлшемшарттары. </w:t>
      </w:r>
    </w:p>
    <w:bookmarkEnd w:id="29"/>
    <w:bookmarkStart w:name="z33" w:id="30"/>
    <w:p>
      <w:pPr>
        <w:spacing w:after="0"/>
        <w:ind w:left="0"/>
        <w:jc w:val="both"/>
      </w:pPr>
      <w:r>
        <w:rPr>
          <w:rFonts w:ascii="Times New Roman"/>
          <w:b w:val="false"/>
          <w:i w:val="false"/>
          <w:color w:val="000000"/>
          <w:sz w:val="28"/>
        </w:rPr>
        <w:t>
      3. Бақылау субъектісіне (объектісіне) бару арқылы профилактикалық бақылау үшін тәуекел дәрежесін бағалау өлшемшарттары объективті және субъективті өлшемшарттар арқылы қалыптастырылады.</w:t>
      </w:r>
    </w:p>
    <w:bookmarkEnd w:id="30"/>
    <w:bookmarkStart w:name="z34" w:id="31"/>
    <w:p>
      <w:pPr>
        <w:spacing w:after="0"/>
        <w:ind w:left="0"/>
        <w:jc w:val="both"/>
      </w:pPr>
      <w:r>
        <w:rPr>
          <w:rFonts w:ascii="Times New Roman"/>
          <w:b w:val="false"/>
          <w:i w:val="false"/>
          <w:color w:val="000000"/>
          <w:sz w:val="28"/>
        </w:rPr>
        <w:t>
      Бақылау субъектісіне (объектісіне) бару арқылы профилактикалық бақылау жүргізу ерекше тәртібі жоғары тәуекел дәрежесіне жатқызылған бақылау субъектісіне (объектісіне) қатысты қолданылады.</w:t>
      </w:r>
    </w:p>
    <w:bookmarkEnd w:id="31"/>
    <w:bookmarkStart w:name="z35" w:id="32"/>
    <w:p>
      <w:pPr>
        <w:spacing w:after="0"/>
        <w:ind w:left="0"/>
        <w:jc w:val="both"/>
      </w:pPr>
      <w:r>
        <w:rPr>
          <w:rFonts w:ascii="Times New Roman"/>
          <w:b w:val="false"/>
          <w:i w:val="false"/>
          <w:color w:val="000000"/>
          <w:sz w:val="28"/>
        </w:rPr>
        <w:t>
      4. Бақылау субъектісіне (объектісіне) бару арқылы профилактикалық бақылау Кодекстің 141-бабының 3-тармағына сәйкес құрылатын бақылау субъектісіне (объектісіне) бару арқылы профилактикалық бақылаудың жарты жылдық тізімдері негізінде жүргізіледі.</w:t>
      </w:r>
    </w:p>
    <w:bookmarkEnd w:id="32"/>
    <w:bookmarkStart w:name="z36" w:id="33"/>
    <w:p>
      <w:pPr>
        <w:spacing w:after="0"/>
        <w:ind w:left="0"/>
        <w:jc w:val="both"/>
      </w:pPr>
      <w:r>
        <w:rPr>
          <w:rFonts w:ascii="Times New Roman"/>
          <w:b w:val="false"/>
          <w:i w:val="false"/>
          <w:color w:val="000000"/>
          <w:sz w:val="28"/>
        </w:rPr>
        <w:t xml:space="preserve">
      5. Бақылау субъектісіне (объектісіне) бару арқылы профилактикалық бақылау тізімдері субъективті өлшемшарттар бойынша тәуекел дәрежесінің барынша жоғары көрсеткіші бар бақылау субъектісінің басымдығы. </w:t>
      </w:r>
    </w:p>
    <w:bookmarkEnd w:id="33"/>
    <w:bookmarkStart w:name="z37" w:id="34"/>
    <w:p>
      <w:pPr>
        <w:spacing w:after="0"/>
        <w:ind w:left="0"/>
        <w:jc w:val="both"/>
      </w:pPr>
      <w:r>
        <w:rPr>
          <w:rFonts w:ascii="Times New Roman"/>
          <w:b w:val="false"/>
          <w:i w:val="false"/>
          <w:color w:val="000000"/>
          <w:sz w:val="28"/>
        </w:rPr>
        <w:t>
      6. Бақылау субъектісіне (объектісіне) бару арқылы профилактикалық бақылау жүргізудің мерзімділігі субъективті өлшемшарттар бойынша алынатын мәліметтерге жүргізілетін талдау мен бағалаудың нәтижелері бойынша айқындалады және жылына ең көбі бір реттен аспайды.</w:t>
      </w:r>
    </w:p>
    <w:bookmarkEnd w:id="34"/>
    <w:bookmarkStart w:name="z38" w:id="35"/>
    <w:p>
      <w:pPr>
        <w:spacing w:after="0"/>
        <w:ind w:left="0"/>
        <w:jc w:val="left"/>
      </w:pPr>
      <w:r>
        <w:rPr>
          <w:rFonts w:ascii="Times New Roman"/>
          <w:b/>
          <w:i w:val="false"/>
          <w:color w:val="000000"/>
        </w:rPr>
        <w:t xml:space="preserve"> 2-тарау. Объективті өлшемшарттар</w:t>
      </w:r>
    </w:p>
    <w:bookmarkEnd w:id="35"/>
    <w:bookmarkStart w:name="z39" w:id="36"/>
    <w:p>
      <w:pPr>
        <w:spacing w:after="0"/>
        <w:ind w:left="0"/>
        <w:jc w:val="both"/>
      </w:pPr>
      <w:r>
        <w:rPr>
          <w:rFonts w:ascii="Times New Roman"/>
          <w:b w:val="false"/>
          <w:i w:val="false"/>
          <w:color w:val="000000"/>
          <w:sz w:val="28"/>
        </w:rPr>
        <w:t>
      7. Объективті өлшемшарттар бойынша тәуекелді бағалаудың жоғары дәрежесіне мынадай бақылау субъектілері (объектілер) жатады:</w:t>
      </w:r>
    </w:p>
    <w:bookmarkEnd w:id="36"/>
    <w:bookmarkStart w:name="z40" w:id="37"/>
    <w:p>
      <w:pPr>
        <w:spacing w:after="0"/>
        <w:ind w:left="0"/>
        <w:jc w:val="both"/>
      </w:pPr>
      <w:r>
        <w:rPr>
          <w:rFonts w:ascii="Times New Roman"/>
          <w:b w:val="false"/>
          <w:i w:val="false"/>
          <w:color w:val="000000"/>
          <w:sz w:val="28"/>
        </w:rPr>
        <w:t>
      1) казино;</w:t>
      </w:r>
    </w:p>
    <w:bookmarkEnd w:id="37"/>
    <w:bookmarkStart w:name="z41" w:id="38"/>
    <w:p>
      <w:pPr>
        <w:spacing w:after="0"/>
        <w:ind w:left="0"/>
        <w:jc w:val="both"/>
      </w:pPr>
      <w:r>
        <w:rPr>
          <w:rFonts w:ascii="Times New Roman"/>
          <w:b w:val="false"/>
          <w:i w:val="false"/>
          <w:color w:val="000000"/>
          <w:sz w:val="28"/>
        </w:rPr>
        <w:t>
      2) ойын автоматтары залы;</w:t>
      </w:r>
    </w:p>
    <w:bookmarkEnd w:id="38"/>
    <w:bookmarkStart w:name="z42" w:id="39"/>
    <w:p>
      <w:pPr>
        <w:spacing w:after="0"/>
        <w:ind w:left="0"/>
        <w:jc w:val="both"/>
      </w:pPr>
      <w:r>
        <w:rPr>
          <w:rFonts w:ascii="Times New Roman"/>
          <w:b w:val="false"/>
          <w:i w:val="false"/>
          <w:color w:val="000000"/>
          <w:sz w:val="28"/>
        </w:rPr>
        <w:t xml:space="preserve">
      3) букмекер кеңселері; </w:t>
      </w:r>
    </w:p>
    <w:bookmarkEnd w:id="39"/>
    <w:bookmarkStart w:name="z43" w:id="40"/>
    <w:p>
      <w:pPr>
        <w:spacing w:after="0"/>
        <w:ind w:left="0"/>
        <w:jc w:val="both"/>
      </w:pPr>
      <w:r>
        <w:rPr>
          <w:rFonts w:ascii="Times New Roman"/>
          <w:b w:val="false"/>
          <w:i w:val="false"/>
          <w:color w:val="000000"/>
          <w:sz w:val="28"/>
        </w:rPr>
        <w:t>
      4) тотализаторлар.</w:t>
      </w:r>
    </w:p>
    <w:bookmarkEnd w:id="40"/>
    <w:bookmarkStart w:name="z44" w:id="41"/>
    <w:p>
      <w:pPr>
        <w:spacing w:after="0"/>
        <w:ind w:left="0"/>
        <w:jc w:val="left"/>
      </w:pPr>
      <w:r>
        <w:rPr>
          <w:rFonts w:ascii="Times New Roman"/>
          <w:b/>
          <w:i w:val="false"/>
          <w:color w:val="000000"/>
        </w:rPr>
        <w:t xml:space="preserve"> 3-тарау. Субъективті өлшемшарттар</w:t>
      </w:r>
    </w:p>
    <w:bookmarkEnd w:id="41"/>
    <w:bookmarkStart w:name="z45" w:id="42"/>
    <w:p>
      <w:pPr>
        <w:spacing w:after="0"/>
        <w:ind w:left="0"/>
        <w:jc w:val="both"/>
      </w:pPr>
      <w:r>
        <w:rPr>
          <w:rFonts w:ascii="Times New Roman"/>
          <w:b w:val="false"/>
          <w:i w:val="false"/>
          <w:color w:val="000000"/>
          <w:sz w:val="28"/>
        </w:rPr>
        <w:t>
      8. Субъективті өлшемшарттарды айқындау мына кезеңдерді қолданумен жүзеге асырылады:</w:t>
      </w:r>
    </w:p>
    <w:bookmarkEnd w:id="42"/>
    <w:bookmarkStart w:name="z46" w:id="43"/>
    <w:p>
      <w:pPr>
        <w:spacing w:after="0"/>
        <w:ind w:left="0"/>
        <w:jc w:val="both"/>
      </w:pPr>
      <w:r>
        <w:rPr>
          <w:rFonts w:ascii="Times New Roman"/>
          <w:b w:val="false"/>
          <w:i w:val="false"/>
          <w:color w:val="000000"/>
          <w:sz w:val="28"/>
        </w:rPr>
        <w:t xml:space="preserve">
      1) деректер базасын қалыптастыру және ақпарат жинау; </w:t>
      </w:r>
    </w:p>
    <w:bookmarkEnd w:id="43"/>
    <w:bookmarkStart w:name="z47" w:id="44"/>
    <w:p>
      <w:pPr>
        <w:spacing w:after="0"/>
        <w:ind w:left="0"/>
        <w:jc w:val="both"/>
      </w:pPr>
      <w:r>
        <w:rPr>
          <w:rFonts w:ascii="Times New Roman"/>
          <w:b w:val="false"/>
          <w:i w:val="false"/>
          <w:color w:val="000000"/>
          <w:sz w:val="28"/>
        </w:rPr>
        <w:t xml:space="preserve">
      2) ақпаратты талдау және тәуекелдерді бағалау. </w:t>
      </w:r>
    </w:p>
    <w:bookmarkEnd w:id="44"/>
    <w:bookmarkStart w:name="z48" w:id="45"/>
    <w:p>
      <w:pPr>
        <w:spacing w:after="0"/>
        <w:ind w:left="0"/>
        <w:jc w:val="both"/>
      </w:pPr>
      <w:r>
        <w:rPr>
          <w:rFonts w:ascii="Times New Roman"/>
          <w:b w:val="false"/>
          <w:i w:val="false"/>
          <w:color w:val="000000"/>
          <w:sz w:val="28"/>
        </w:rPr>
        <w:t>
      9. Бақылау субъектісінің субъективті өлшемшартарының тәуекел дәрежесін бағалау үшін мына ақпарат көздері пайдаланылады:</w:t>
      </w:r>
    </w:p>
    <w:bookmarkEnd w:id="45"/>
    <w:bookmarkStart w:name="z49" w:id="46"/>
    <w:p>
      <w:pPr>
        <w:spacing w:after="0"/>
        <w:ind w:left="0"/>
        <w:jc w:val="both"/>
      </w:pPr>
      <w:r>
        <w:rPr>
          <w:rFonts w:ascii="Times New Roman"/>
          <w:b w:val="false"/>
          <w:i w:val="false"/>
          <w:color w:val="000000"/>
          <w:sz w:val="28"/>
        </w:rPr>
        <w:t xml:space="preserve">
      1) бақылау субъектісі ұсынатын есептілік пен мәліметтерді мониторингілеу нәтижелері; </w:t>
      </w:r>
    </w:p>
    <w:bookmarkEnd w:id="46"/>
    <w:bookmarkStart w:name="z50" w:id="47"/>
    <w:p>
      <w:pPr>
        <w:spacing w:after="0"/>
        <w:ind w:left="0"/>
        <w:jc w:val="both"/>
      </w:pPr>
      <w:r>
        <w:rPr>
          <w:rFonts w:ascii="Times New Roman"/>
          <w:b w:val="false"/>
          <w:i w:val="false"/>
          <w:color w:val="000000"/>
          <w:sz w:val="28"/>
        </w:rPr>
        <w:t>
      2) бұрынғы бару арқылы профилактикалық бақылау нәтижелері. Бұл ретте бұзушылықтардың ауыртпалық дәрежесі (өрескел, елеулі, болмашы) тексеру парағында көрсетілген Заңнама талаптары сақталмаған жағдайда белгіленеді;</w:t>
      </w:r>
    </w:p>
    <w:bookmarkEnd w:id="47"/>
    <w:bookmarkStart w:name="z51" w:id="48"/>
    <w:p>
      <w:pPr>
        <w:spacing w:after="0"/>
        <w:ind w:left="0"/>
        <w:jc w:val="both"/>
      </w:pPr>
      <w:r>
        <w:rPr>
          <w:rFonts w:ascii="Times New Roman"/>
          <w:b w:val="false"/>
          <w:i w:val="false"/>
          <w:color w:val="000000"/>
          <w:sz w:val="28"/>
        </w:rPr>
        <w:t>
      3) мемлекеттік органдардан келіп түскен мәліметтерді талдау нәтижелері;</w:t>
      </w:r>
    </w:p>
    <w:bookmarkEnd w:id="48"/>
    <w:bookmarkStart w:name="z52" w:id="49"/>
    <w:p>
      <w:pPr>
        <w:spacing w:after="0"/>
        <w:ind w:left="0"/>
        <w:jc w:val="both"/>
      </w:pPr>
      <w:r>
        <w:rPr>
          <w:rFonts w:ascii="Times New Roman"/>
          <w:b w:val="false"/>
          <w:i w:val="false"/>
          <w:color w:val="000000"/>
          <w:sz w:val="28"/>
        </w:rPr>
        <w:t>
      4) бұзу фактісін растайтын құжаттарды қоса бере отырып, құқықтарын ойын бизнесін ұйымдастырушылар бұзған жеке және заңды тұлғалардың расталған шағымдар мен өтініштердің болуы;</w:t>
      </w:r>
    </w:p>
    <w:bookmarkEnd w:id="49"/>
    <w:bookmarkStart w:name="z53" w:id="50"/>
    <w:p>
      <w:pPr>
        <w:spacing w:after="0"/>
        <w:ind w:left="0"/>
        <w:jc w:val="both"/>
      </w:pPr>
      <w:r>
        <w:rPr>
          <w:rFonts w:ascii="Times New Roman"/>
          <w:b w:val="false"/>
          <w:i w:val="false"/>
          <w:color w:val="000000"/>
          <w:sz w:val="28"/>
        </w:rPr>
        <w:t xml:space="preserve">
      5) бақылау субъектісіне (объектісіне) бармай профилактикалық бақылау жүргізу нәтижелері (бақылау субъектісіне (объектісіне) бармай профилактикалық бақылау нәтижелері бойынша берілген қорытынды құжаттар (анықтама, қорытынды, ұсынымдар және басқа). </w:t>
      </w:r>
    </w:p>
    <w:bookmarkEnd w:id="50"/>
    <w:bookmarkStart w:name="z54" w:id="51"/>
    <w:p>
      <w:pPr>
        <w:spacing w:after="0"/>
        <w:ind w:left="0"/>
        <w:jc w:val="both"/>
      </w:pPr>
      <w:r>
        <w:rPr>
          <w:rFonts w:ascii="Times New Roman"/>
          <w:b w:val="false"/>
          <w:i w:val="false"/>
          <w:color w:val="000000"/>
          <w:sz w:val="28"/>
        </w:rPr>
        <w:t>
      10. Бақылау субъектілерінің тәуекел дәрежесін бағалау және оларды тәуекел дәрежесінің өрескел, елеулі, болмашы тобына жатқызу осы Өлшемшарттардың 1, 2-қосымшасына сәйкес жүзеге асырылады.</w:t>
      </w:r>
    </w:p>
    <w:bookmarkEnd w:id="51"/>
    <w:bookmarkStart w:name="z55" w:id="52"/>
    <w:p>
      <w:pPr>
        <w:spacing w:after="0"/>
        <w:ind w:left="0"/>
        <w:jc w:val="both"/>
      </w:pPr>
      <w:r>
        <w:rPr>
          <w:rFonts w:ascii="Times New Roman"/>
          <w:b w:val="false"/>
          <w:i w:val="false"/>
          <w:color w:val="000000"/>
          <w:sz w:val="28"/>
        </w:rPr>
        <w:t>
      11. Бір және одан да көп өрескел бұзушылықтар болған кезде тексерілетін субъектіге (объектіге) 100 көрсеткіші беріледі, бұл тексерілетін субъектіге (объектіге) бару арқылы профилактикалық бақылау жүргізу үшін негіздеме болып табылады.</w:t>
      </w:r>
    </w:p>
    <w:bookmarkEnd w:id="52"/>
    <w:bookmarkStart w:name="z56" w:id="53"/>
    <w:p>
      <w:pPr>
        <w:spacing w:after="0"/>
        <w:ind w:left="0"/>
        <w:jc w:val="both"/>
      </w:pPr>
      <w:r>
        <w:rPr>
          <w:rFonts w:ascii="Times New Roman"/>
          <w:b w:val="false"/>
          <w:i w:val="false"/>
          <w:color w:val="000000"/>
          <w:sz w:val="28"/>
        </w:rPr>
        <w:t>
      Өрескел бұзушылықтар болмаған жағдайда, тәуекел дәрежесінің көрсеткішін айқындау үшін елеулі және елеусіз дәрежелер талаптарының жиынтық көрсеткіші есептеледі.</w:t>
      </w:r>
    </w:p>
    <w:bookmarkEnd w:id="53"/>
    <w:bookmarkStart w:name="z57" w:id="54"/>
    <w:p>
      <w:pPr>
        <w:spacing w:after="0"/>
        <w:ind w:left="0"/>
        <w:jc w:val="both"/>
      </w:pPr>
      <w:r>
        <w:rPr>
          <w:rFonts w:ascii="Times New Roman"/>
          <w:b w:val="false"/>
          <w:i w:val="false"/>
          <w:color w:val="000000"/>
          <w:sz w:val="28"/>
        </w:rPr>
        <w:t>
      Елеулі бұзушылықтар көрсеткішін айқындау кезінде 0,7 коэффициенті қолданылады және бұл көрсеткіш мына формула бойынша есептеледі:</w:t>
      </w:r>
    </w:p>
    <w:bookmarkEnd w:id="54"/>
    <w:p>
      <w:pPr>
        <w:spacing w:after="0"/>
        <w:ind w:left="0"/>
        <w:jc w:val="both"/>
      </w:pPr>
      <w:r>
        <w:rPr>
          <w:rFonts w:ascii="Times New Roman"/>
          <w:b w:val="false"/>
          <w:i w:val="false"/>
          <w:color w:val="000000"/>
          <w:sz w:val="28"/>
        </w:rPr>
        <w:t>
      SР3 = (SР2 х 100/SР1) х 0,7,</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SР3 – елеулі бұзушылықтардың көрсеткіші;</w:t>
      </w:r>
    </w:p>
    <w:p>
      <w:pPr>
        <w:spacing w:after="0"/>
        <w:ind w:left="0"/>
        <w:jc w:val="both"/>
      </w:pPr>
      <w:r>
        <w:rPr>
          <w:rFonts w:ascii="Times New Roman"/>
          <w:b w:val="false"/>
          <w:i w:val="false"/>
          <w:color w:val="000000"/>
          <w:sz w:val="28"/>
        </w:rPr>
        <w:t>
      SР1 – елеулі бұзушылықтардың талап етілетін саны;</w:t>
      </w:r>
    </w:p>
    <w:p>
      <w:pPr>
        <w:spacing w:after="0"/>
        <w:ind w:left="0"/>
        <w:jc w:val="both"/>
      </w:pPr>
      <w:r>
        <w:rPr>
          <w:rFonts w:ascii="Times New Roman"/>
          <w:b w:val="false"/>
          <w:i w:val="false"/>
          <w:color w:val="000000"/>
          <w:sz w:val="28"/>
        </w:rPr>
        <w:t>
      SР2 – анықталған елеулі бұзушылықтардың саны.</w:t>
      </w:r>
    </w:p>
    <w:bookmarkStart w:name="z58" w:id="55"/>
    <w:p>
      <w:pPr>
        <w:spacing w:after="0"/>
        <w:ind w:left="0"/>
        <w:jc w:val="both"/>
      </w:pPr>
      <w:r>
        <w:rPr>
          <w:rFonts w:ascii="Times New Roman"/>
          <w:b w:val="false"/>
          <w:i w:val="false"/>
          <w:color w:val="000000"/>
          <w:sz w:val="28"/>
        </w:rPr>
        <w:t>
      Болмашы бұзушылықтардың көрсеткішін айқындау кезінде 0,3 коэффициенті қолданылады және бұл көрсеткіш мына формула бойынша есептеледі:</w:t>
      </w:r>
    </w:p>
    <w:bookmarkEnd w:id="55"/>
    <w:p>
      <w:pPr>
        <w:spacing w:after="0"/>
        <w:ind w:left="0"/>
        <w:jc w:val="both"/>
      </w:pPr>
      <w:r>
        <w:rPr>
          <w:rFonts w:ascii="Times New Roman"/>
          <w:b w:val="false"/>
          <w:i w:val="false"/>
          <w:color w:val="000000"/>
          <w:sz w:val="28"/>
        </w:rPr>
        <w:t>
      SРН = (SР2 х 100/SР1) х 0,3,</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SРН – болмашы бұзушылықтардың көрсеткіші;</w:t>
      </w:r>
    </w:p>
    <w:p>
      <w:pPr>
        <w:spacing w:after="0"/>
        <w:ind w:left="0"/>
        <w:jc w:val="both"/>
      </w:pPr>
      <w:r>
        <w:rPr>
          <w:rFonts w:ascii="Times New Roman"/>
          <w:b w:val="false"/>
          <w:i w:val="false"/>
          <w:color w:val="000000"/>
          <w:sz w:val="28"/>
        </w:rPr>
        <w:t>
      SР1 - болмашы бұзушылықтардың талап етілетін саны;</w:t>
      </w:r>
    </w:p>
    <w:p>
      <w:pPr>
        <w:spacing w:after="0"/>
        <w:ind w:left="0"/>
        <w:jc w:val="both"/>
      </w:pPr>
      <w:r>
        <w:rPr>
          <w:rFonts w:ascii="Times New Roman"/>
          <w:b w:val="false"/>
          <w:i w:val="false"/>
          <w:color w:val="000000"/>
          <w:sz w:val="28"/>
        </w:rPr>
        <w:t>
      SР2 - анықталған болмашы бұзушылықтардың саны.</w:t>
      </w:r>
    </w:p>
    <w:bookmarkStart w:name="z59" w:id="56"/>
    <w:p>
      <w:pPr>
        <w:spacing w:after="0"/>
        <w:ind w:left="0"/>
        <w:jc w:val="both"/>
      </w:pPr>
      <w:r>
        <w:rPr>
          <w:rFonts w:ascii="Times New Roman"/>
          <w:b w:val="false"/>
          <w:i w:val="false"/>
          <w:color w:val="000000"/>
          <w:sz w:val="28"/>
        </w:rPr>
        <w:t>
      Тәуекел дәрежесінің жалпы көрсеткіші (SР) 0-ден 100-ге дейінгі шәкіл бойынша есептеледі және мына формула бойынша елеулі және болмашы бұзушылықтардың көрсеткіштерін қосу арқылы айқындалады:</w:t>
      </w:r>
    </w:p>
    <w:bookmarkEnd w:id="56"/>
    <w:p>
      <w:pPr>
        <w:spacing w:after="0"/>
        <w:ind w:left="0"/>
        <w:jc w:val="both"/>
      </w:pPr>
      <w:r>
        <w:rPr>
          <w:rFonts w:ascii="Times New Roman"/>
          <w:b w:val="false"/>
          <w:i w:val="false"/>
          <w:color w:val="000000"/>
          <w:sz w:val="28"/>
        </w:rPr>
        <w:t>
      SР = SР3 + SРН,</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SР - тәуекел дәрежесінің жалпы көрсеткіші;</w:t>
      </w:r>
    </w:p>
    <w:p>
      <w:pPr>
        <w:spacing w:after="0"/>
        <w:ind w:left="0"/>
        <w:jc w:val="both"/>
      </w:pPr>
      <w:r>
        <w:rPr>
          <w:rFonts w:ascii="Times New Roman"/>
          <w:b w:val="false"/>
          <w:i w:val="false"/>
          <w:color w:val="000000"/>
          <w:sz w:val="28"/>
        </w:rPr>
        <w:t>
      SР3 - елеулі бұзушылықтардың көрсеткіші;</w:t>
      </w:r>
    </w:p>
    <w:p>
      <w:pPr>
        <w:spacing w:after="0"/>
        <w:ind w:left="0"/>
        <w:jc w:val="both"/>
      </w:pPr>
      <w:r>
        <w:rPr>
          <w:rFonts w:ascii="Times New Roman"/>
          <w:b w:val="false"/>
          <w:i w:val="false"/>
          <w:color w:val="000000"/>
          <w:sz w:val="28"/>
        </w:rPr>
        <w:t>
      SРН - болмашы бұзушылықтардың көрсеткіші.</w:t>
      </w:r>
    </w:p>
    <w:bookmarkStart w:name="z60" w:id="57"/>
    <w:p>
      <w:pPr>
        <w:spacing w:after="0"/>
        <w:ind w:left="0"/>
        <w:jc w:val="both"/>
      </w:pPr>
      <w:r>
        <w:rPr>
          <w:rFonts w:ascii="Times New Roman"/>
          <w:b w:val="false"/>
          <w:i w:val="false"/>
          <w:color w:val="000000"/>
          <w:sz w:val="28"/>
        </w:rPr>
        <w:t>
      12. Тәуекел дәрежесінің көрсеткіштері бойынша тәуекел дәрежесі жоғары бақылау және қадағалау субъектісі (объектісі):</w:t>
      </w:r>
    </w:p>
    <w:bookmarkEnd w:id="57"/>
    <w:bookmarkStart w:name="z61" w:id="58"/>
    <w:p>
      <w:pPr>
        <w:spacing w:after="0"/>
        <w:ind w:left="0"/>
        <w:jc w:val="both"/>
      </w:pPr>
      <w:r>
        <w:rPr>
          <w:rFonts w:ascii="Times New Roman"/>
          <w:b w:val="false"/>
          <w:i w:val="false"/>
          <w:color w:val="000000"/>
          <w:sz w:val="28"/>
        </w:rPr>
        <w:t>
      1) тәуекел дәрежесі 0-ден 60-қа дейінгі қоса алғанда көрсеткіш кезінде реттеуші мемлекеттік органның тәуекел дәрежесін бағалау өлшемшарттарында белгіленетін мерзімге арналған жартыжылдық кестелер негізінде тексерулерді жүргізудің ерекше тәртібінен босатылады;</w:t>
      </w:r>
    </w:p>
    <w:bookmarkEnd w:id="58"/>
    <w:bookmarkStart w:name="z62" w:id="59"/>
    <w:p>
      <w:pPr>
        <w:spacing w:after="0"/>
        <w:ind w:left="0"/>
        <w:jc w:val="both"/>
      </w:pPr>
      <w:r>
        <w:rPr>
          <w:rFonts w:ascii="Times New Roman"/>
          <w:b w:val="false"/>
          <w:i w:val="false"/>
          <w:color w:val="000000"/>
          <w:sz w:val="28"/>
        </w:rPr>
        <w:t>
      2) тәуекел дәрежесі 61-ден бастап 100-ді қоса алғанға дейінгі көрсеткіш кезінде жартыжылдық кестелер негізінде тексерулерді жүргізудің ерекше тәртібінен босатылмайды.</w:t>
      </w:r>
    </w:p>
    <w:bookmarkEnd w:id="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ойын бизнесі туралы заңнамасын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сақтаудың тәуекел дәрежесін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бағалау өлшемшарттарына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Казино және ойын автоматтары залдарының қызметін жүзеге асыратын ойын бизнесін ұйымдастырушыларына арналған Қазақстан Республикасының ойын бизнесі туралы заңнамасын сақтаудың тәуекел дәрежесін бағалаудың субъективті өлшемшарттары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5"/>
        <w:gridCol w:w="10651"/>
        <w:gridCol w:w="524"/>
      </w:tblGrid>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0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1. Бақылау субъектісі ұсынатын есептілік пен мәліметтерді мониторингілеу нәтижелері</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есептік нысандарда ұтыстың белгеленген пайызы туралы мәліметтердің болмауы (ойын автоматына технологиялық түрде салынған ұтыс пайызы тоқсан бес пайыздан төмен болмауға тиіс)</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есептік нысандарда бейнежазу жүйелерінің техникалық жай-күйі туралы мәліметтердің болмауы (ойын мекемелерінің кассалары мен ойын орындары жазылған ақпаратты кемінде жеті тәулік сақтауды қамтамасыз ететін және құмар ойнына барлық қатысушылардың әрекеттерін тіркейтін бейне жазу жүйелерімен жабдықталуға тиіс)</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есептік деректерде ойын үстелдерінің санын өзгерту, лицензия алу кезінде көрсетілген жабдықты ауыстыру туралы мәліметтердің болмауы (бір казинода кемінде отыз ойын автоматы орнатылуға тиіс)</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есептік деректерде ойын үстелдерінің санын өзгерту, лицензия алу кезінде көрсетілген жабдықты ауыстыру туралы мәліметтердің болмауы (бір ойын автоматтары залдарында кемінде алпыс ойын автоматы орнатылуға тиіс)</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анықтамаларда казино қызметін жүзеге асыру үшін банктік салым шартын жасасқан кезде ашылған банк шоттары бойынша ақшаның болуы туралы мәліметтердің болмауы (міндетті резервтер мөлшері 60000 айлық есептік көрсеткіш)</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анықтамаларда ойын автоматтары залдары қызметін жүзеге асыру үшін банктік салым шартын жасасқан кезде ашылған банк шоттары бойынша ақшаның болуы туралы мәліметтердің болмауы (міндетті резервтер мөлшері 60000 айлық есептік көрсеткіш)</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 ұйымдастырушылардың есептілік кезеңнен кейінгі айдың 10 күнінен кешіктірмей тоқсан сайын үш айда кемінде бір рет банктік салым шартын жасасу кезінде ашылған банк шоттары бойынша ақшаның болуы және қозғалысы туралы анықтамаларды ұсынбау</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2. Бұрынғы бару арқылы профилактикалық бақылау нәтижелері (ауыртпалық дәрежесі төменде көрсетілген талаптарды орындамаған кезде белгіленеді)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Казино қызметін жүзеге асыратын субъектілер</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Есептілік деректерде мынадай ақпараттарды ұсыну туралы талаптарды сақтау:</w:t>
            </w:r>
            <w:r>
              <w:br/>
            </w:r>
            <w:r>
              <w:rPr>
                <w:rFonts w:ascii="Times New Roman"/>
                <w:b w:val="false"/>
                <w:i w:val="false"/>
                <w:color w:val="000000"/>
                <w:sz w:val="20"/>
              </w:rPr>
              <w:t>
1) ойын жабдығының, ойын автоматтарының техникалық жай-күйі туралы мәліметтер;</w:t>
            </w:r>
            <w:r>
              <w:br/>
            </w:r>
            <w:r>
              <w:rPr>
                <w:rFonts w:ascii="Times New Roman"/>
                <w:b w:val="false"/>
                <w:i w:val="false"/>
                <w:color w:val="000000"/>
                <w:sz w:val="20"/>
              </w:rPr>
              <w:t>
2) бейнежазу жүйелерінің техникалық жай-күйі туралы мәліметтер;</w:t>
            </w:r>
            <w:r>
              <w:br/>
            </w:r>
            <w:r>
              <w:rPr>
                <w:rFonts w:ascii="Times New Roman"/>
                <w:b w:val="false"/>
                <w:i w:val="false"/>
                <w:color w:val="000000"/>
                <w:sz w:val="20"/>
              </w:rPr>
              <w:t>
3) ойын автоматына технологиялық салынған ұтыстың белгіленген пайызы туралы мәлімет;</w:t>
            </w:r>
            <w:r>
              <w:br/>
            </w:r>
            <w:r>
              <w:rPr>
                <w:rFonts w:ascii="Times New Roman"/>
                <w:b w:val="false"/>
                <w:i w:val="false"/>
                <w:color w:val="000000"/>
                <w:sz w:val="20"/>
              </w:rPr>
              <w:t>
4) лицензия алған кезде көрсетілген ойын үстелдері санының өзгеруі, жабдықты ауыстыру туралы мәліметтер;</w:t>
            </w:r>
            <w:r>
              <w:br/>
            </w:r>
            <w:r>
              <w:rPr>
                <w:rFonts w:ascii="Times New Roman"/>
                <w:b w:val="false"/>
                <w:i w:val="false"/>
                <w:color w:val="000000"/>
                <w:sz w:val="20"/>
              </w:rPr>
              <w:t>
5) кассалар тізімі мен қызметкерлер саны туралы мәліметтер;</w:t>
            </w:r>
            <w:r>
              <w:br/>
            </w:r>
            <w:r>
              <w:rPr>
                <w:rFonts w:ascii="Times New Roman"/>
                <w:b w:val="false"/>
                <w:i w:val="false"/>
                <w:color w:val="000000"/>
                <w:sz w:val="20"/>
              </w:rPr>
              <w:t>
6) қызмет түрінен төленген жалпы салық сомасы туралы мәліметтер</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казинода кемінде отыз ойын үстелін орнату бойынша талаптарды сақтау</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Казино ойын автоматтарын немесе олардың бөліктерін қабырғаларға, терезе мен есіктер ойығына монтаждауға салынған тыйым салу туралы талаптарды сақтау</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бес пайыздан төмен емес ойын автоматына технологиялық салынған ұтыс пайызына қатысты талаптарды сақтау</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Жазылған ақпаратты кемінде жеті тәулік сақтауды қамтамасыз ететін және барлық құмар ойындарға қатысушылардың іс-қимылын жазып отыратын бейнежазба жүйелерімен ойын мекемелерінің кассалары мен ойын орындарын жабдықтау бойынша талаптарды сақтау</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 талаптарын сақтау, атап айтқанда:</w:t>
            </w:r>
            <w:r>
              <w:br/>
            </w:r>
            <w:r>
              <w:rPr>
                <w:rFonts w:ascii="Times New Roman"/>
                <w:b w:val="false"/>
                <w:i w:val="false"/>
                <w:color w:val="000000"/>
                <w:sz w:val="20"/>
              </w:rPr>
              <w:t xml:space="preserve">
1) қаржылық мониторингке, оның ішінде күдікті операцияларға жататын ақшамен және (немесе) өзге мүлікпен операцияларды жүзеге асырған жағдайда, өз клиенттері (олардың өкілдері) мен бенефициарлық меншіктерге дұрыс тексеруді жүзеге асыру; </w:t>
            </w:r>
            <w:r>
              <w:br/>
            </w:r>
            <w:r>
              <w:rPr>
                <w:rFonts w:ascii="Times New Roman"/>
                <w:b w:val="false"/>
                <w:i w:val="false"/>
                <w:color w:val="000000"/>
                <w:sz w:val="20"/>
              </w:rPr>
              <w:t>
2) өз клиенттері (олардың өкілдері) мен бенефициарлық меншіктерге дұрыс тексеру жүргізу кезінде мына шараларды жүзеге асыру:</w:t>
            </w:r>
            <w:r>
              <w:br/>
            </w:r>
            <w:r>
              <w:rPr>
                <w:rFonts w:ascii="Times New Roman"/>
                <w:b w:val="false"/>
                <w:i w:val="false"/>
                <w:color w:val="000000"/>
                <w:sz w:val="20"/>
              </w:rPr>
              <w:t>
жеке тұлғаны сәйкестендіру үшін қажетті мәліметтерді тіркеу, оның жеке басын куәландыратын құжаттар деректері, жеке сәйкестендіру нөмірі, сондай-ақ заңды мекенжайы,меншік бенефициарын анықтау және заңды мекенжайынан басқа оны сәйкестіндіруге қажет мәліметтерді тіркеу; клиент (оның өкілі) және бенефициар меншігі туралы шынайылықты тексеру және мәліметтерді жаңарту;</w:t>
            </w:r>
            <w:r>
              <w:br/>
            </w:r>
            <w:r>
              <w:rPr>
                <w:rFonts w:ascii="Times New Roman"/>
                <w:b w:val="false"/>
                <w:i w:val="false"/>
                <w:color w:val="000000"/>
                <w:sz w:val="20"/>
              </w:rPr>
              <w:t>
3) ішкі бақылау қағидаларына сәйкес өз клиенттерін (олардың өкілдерін) және бенефициар меншіктерін тиісті тексеруді жүзеге асыру</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Казино қызметін жүзеге асыру үшiн үш жұлдыздан кем емес санаттағы қонақүй кешенінде санитариялық-эпидемиологиялық және өртке қарсы нормаларға сәйкес келетiн меншiк құқығындағы немесе өзге де заңды негіздегі үйдің (үй, құрылыс, ғимарат бөлiктерiнiң) болуы</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Казино қызметін жүзеге асыру үшін меншік құқығында ойын жабдығының болуы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қызметін жүзеге асыруға лицензия алған жеке немесе заңды тұлғалармен шарттардың болуы</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Казино қызметін жүзеге асыру үшін қазақ және орыс тілдерінде қолданылатын заңдастырылған белгілер үлгілері мен номинацияларының болуы</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 ұйымдастырушының 60000 айлық есептік көрсеткіш мөлшерінде казино қызметін жүзеге асыруы үшін міндетті резервтерді орналастыруға қойылатын талаптарды сақтауы</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Жиырма бір жасқа дейінгі Қазақстан Республикасы азаматтарының құмар ойындарға қатысуға тыйым салуды сақтамау</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мекемесі жұмысының, мөлшерлемелерді қабылдау және өткізілетін құмар ойындар, олармен құмар ойындарға қатысушылар танысу үшін ойын мекемелерінде көрінетін жерге орнатылған қазақ және орыс тілдерінде әзірленген қағидалардың бар болуы</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Ойын автоматтары залдарының қызметін жүзеге асыратын субъектілер</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Есептілік деректерде мынадай ақпараттарды ұсыну туралы талаптарды сақтау:</w:t>
            </w:r>
            <w:r>
              <w:br/>
            </w:r>
            <w:r>
              <w:rPr>
                <w:rFonts w:ascii="Times New Roman"/>
                <w:b w:val="false"/>
                <w:i w:val="false"/>
                <w:color w:val="000000"/>
                <w:sz w:val="20"/>
              </w:rPr>
              <w:t>
1) ойын жабдығының, ойын автоматтарының техникалық жай-күйі туралы мәліметтер;</w:t>
            </w:r>
            <w:r>
              <w:br/>
            </w:r>
            <w:r>
              <w:rPr>
                <w:rFonts w:ascii="Times New Roman"/>
                <w:b w:val="false"/>
                <w:i w:val="false"/>
                <w:color w:val="000000"/>
                <w:sz w:val="20"/>
              </w:rPr>
              <w:t>
2) бейнежазу жүйелерінің техникалық жай-күйі туралы мәліметтер;</w:t>
            </w:r>
            <w:r>
              <w:br/>
            </w:r>
            <w:r>
              <w:rPr>
                <w:rFonts w:ascii="Times New Roman"/>
                <w:b w:val="false"/>
                <w:i w:val="false"/>
                <w:color w:val="000000"/>
                <w:sz w:val="20"/>
              </w:rPr>
              <w:t>
3) ойын автоматына технологиялық салынған ұтыстың белгіленген пайызы туралы мәлімет;</w:t>
            </w:r>
            <w:r>
              <w:br/>
            </w:r>
            <w:r>
              <w:rPr>
                <w:rFonts w:ascii="Times New Roman"/>
                <w:b w:val="false"/>
                <w:i w:val="false"/>
                <w:color w:val="000000"/>
                <w:sz w:val="20"/>
              </w:rPr>
              <w:t>
4) лицензия алған кезде көрсетілген ойын үстелдері санының өзгеруі, жабдықты ауыстыру туралы мәліметтер;</w:t>
            </w:r>
            <w:r>
              <w:br/>
            </w:r>
            <w:r>
              <w:rPr>
                <w:rFonts w:ascii="Times New Roman"/>
                <w:b w:val="false"/>
                <w:i w:val="false"/>
                <w:color w:val="000000"/>
                <w:sz w:val="20"/>
              </w:rPr>
              <w:t>
5) кассалар тізімі мен қызметкерлер саны туралы мәліметтер;</w:t>
            </w:r>
            <w:r>
              <w:br/>
            </w:r>
            <w:r>
              <w:rPr>
                <w:rFonts w:ascii="Times New Roman"/>
                <w:b w:val="false"/>
                <w:i w:val="false"/>
                <w:color w:val="000000"/>
                <w:sz w:val="20"/>
              </w:rPr>
              <w:t>
6) қызмет түрінен төленген жалпы салық сомасы туралы мәліметтер</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автоматтары залында кемінде алпыс ойын автоматын орнату жөніндегі талаптарды сақтау</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автоматтары залдарына ойын автоматтарын немесе олардың бөліктерін қабырғаларға, терезе мен есіктер ойығына монтаждауға салынған тыйым салу туралы талаптарды сақтау</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бес пайыздан төмен емес ойын автоматына технологиялық салынған ұтыс пайызына қатысты талаптарды сақтау</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Жазылған ақпаратты кемінде жеті тәулік сақтауды қамтамасыз ететін және барлық құмар ойындарға қатысушылардың іс-қимылын жазып отыратын бейнежазба жүйелерімен ойын мекемелерінің кассалары мен ойын орындарын жабдықтау бойынша талаптарды сақтау</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 талаптарын сақтау, атап айтқанда:</w:t>
            </w:r>
            <w:r>
              <w:br/>
            </w:r>
            <w:r>
              <w:rPr>
                <w:rFonts w:ascii="Times New Roman"/>
                <w:b w:val="false"/>
                <w:i w:val="false"/>
                <w:color w:val="000000"/>
                <w:sz w:val="20"/>
              </w:rPr>
              <w:t xml:space="preserve">
1) қаржылық мониторингке, оның ішінде күдікті операцияларға жататын ақшамен және (немесе) өзге мүлікпен операцияларды жүзеге асырған жағдайда, өз клиенттері (олардың өкілдері) мен бенефициарлық меншіктерге дұрыс тексеруді жүзеге асыру; </w:t>
            </w:r>
            <w:r>
              <w:br/>
            </w:r>
            <w:r>
              <w:rPr>
                <w:rFonts w:ascii="Times New Roman"/>
                <w:b w:val="false"/>
                <w:i w:val="false"/>
                <w:color w:val="000000"/>
                <w:sz w:val="20"/>
              </w:rPr>
              <w:t>
2) өз клиенттері (олардың өкілдері) мен бенефициарлық меншіктерге дұрыс тексеру жүргізу кезінде мына шараларды жүзеге асыру:</w:t>
            </w:r>
            <w:r>
              <w:br/>
            </w:r>
            <w:r>
              <w:rPr>
                <w:rFonts w:ascii="Times New Roman"/>
                <w:b w:val="false"/>
                <w:i w:val="false"/>
                <w:color w:val="000000"/>
                <w:sz w:val="20"/>
              </w:rPr>
              <w:t>
жеке тұлғаны сәйкестендіру үшін қажетті мәліметтерді тіркеу, оның жеке басын куәландыратын құжаттар деректері, жеке сәйкестендіру нөмірі, сондай-ақ заңды мекенжайы,меншік бенефициарын анықтау және заңды мекенжайынан басқа оны сәйкестіндіруге қажет мәліметтерді тіркеу; клиент (оның өкілі) және бенефициар меншігі туралы шынайылықты тексеру және мәліметтерді жаңарту;</w:t>
            </w:r>
            <w:r>
              <w:br/>
            </w:r>
            <w:r>
              <w:rPr>
                <w:rFonts w:ascii="Times New Roman"/>
                <w:b w:val="false"/>
                <w:i w:val="false"/>
                <w:color w:val="000000"/>
                <w:sz w:val="20"/>
              </w:rPr>
              <w:t>
3) ішкі бақылау қағидаларына сәйкес өз клиенттерін (олардың өкілдерін) және бенефициар меншіктерін тиісті тексеруді жүзеге асыру</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автоматтары залы қызметін жүзеге асыру үшiн санитариялық-эпидемиологиялық және өртке қарсы нормаларға сәйкес келетiн меншiк құқығындағы немесе өзге де заңды негіздегі үйдің (үй, құрылыс, ғимарат бөлiктерiнiң) болуы</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автоматтары залының қызметін жүзеге асыру үшін меншік құқығында ойын жабдығының болуы</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қызметін жүзеге асыруға лицензия алған жеке немесе заңды тұлғалармен шарттардың болуы</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автоматтары залының қызметін жүзеге асыру үшін қазақ және орыс тілдерінде қолданылатын заңдастырылған белгілер үлгілері мен номинацияларының болуы</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 ұйымдастырушының 60000 айлық есептік көрсеткіш мөлшерінде ойын автоматтары залдарның қызметін жүзеге асыруы үшін міндетті резервтерді орналастыруға қойылатын талаптарды сақтауы</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Жиырма бір жасқа дейінгі Қазақстан Республикасы азаматтарының құмар ойындарға қатысуға тыйым салуды сақтамау</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мекемесі жұмысының, мөлшерлемелерді қабылдау және өткізілетін құмар ойындар, олармен құмар ойындарға қатысушылар танысу үшін ойын мекемелерінде көрінетін жерге орнатылған қазақ және орыс тілдерінде әзірленген қағидалардың бар болуы</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3. Мемлекеттік органдардан түскен мәліметтерді талдау нәтижелері</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ойын бизнесі туралы заңнамасын бұзу фактілерімен мемлекеттік органдардан түскен мәліметтердің болуы</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4. Бұзу фактісін растайтын құжаттарды қоса бере отырып, құқықтарын ойын бизнесін ұйымдастырушылар, жеке және заңды тұлғалар тарапынан түскен шағымдар мен өтініштердің болуы</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 фактісін растайтын құжаттарды қоса бере отырып, құқықтарын ойын бизнесін ұйымдастырушылар бұзған жеке және заңды тұлғалардан бір және одан да көп шағымдар мен өтініштердің болуы</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5. Бақылау субъектісіне (объектісіне) бармай профилактикалық бақылау жүргізу нәтижелері (бақылау субъектісіне (объектісіне) бармай профилактикалық бақылау нәтижелері бойынша берілген қорытынды құжаттар (анықтама, қорытынды, ұсынымдар және басқа)</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бармай профилактикалық бақылау нәтижелері бойынша анықталған бұзушылықтарды жою туралы ұсынымды белгіленген мерзімде орындамау</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ойын бизнесі туралы заңнамасын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сақтаудың тәуекел дәрежесін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бағалау өлшемшарттарына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Букмекерлік кеңселер және тотализаторлар қызметін жүзеге асыратын ойын бизнесін ұйымдастырушыларға арналған Қазақстан Республикасының ойын бизнесі туралы заңнамасын сақтаудың тәуекел дәрежелерін бағалаудың субъективті өлшемшарттары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2"/>
        <w:gridCol w:w="11153"/>
        <w:gridCol w:w="365"/>
      </w:tblGrid>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1. Бақылау субъектісі ұсынатын есептілік пен мәліметтерді мониторингілеу нәтижелері</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анықтамаларда букмеркерлік кеңселер қызметін жүзеге асыру үшін банктік салым шартын жасасқан кезде ашылған банк шоттары бойынша ақшаның болуы туралы мәліметтердің болмауы (міндетті резервтер мөлшері 40000 айлық есептік көрсеткіш)</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анықтамаларда тотализаторлар қызметін жүзеге асыру үшін банктік салым шартын жасасқан кезде ашылған банк шоттары бойынша ақшаның болуы туралы мәліметтердің болмауы (міндетті резервтер мөлшері 10000 айлық есептік көрсеткіш)</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анықтамаларда букмеркерлік кеңселер қызметін жүзеге асыру үшін банктік салым шартын жасасқан кезде ашылған банк шоттары бойынша ақшаның қозғалысы туралы мәліметтердің болмауы (міндетті резервтер мөлшері 40000 айлық есептік көрсеткіш)</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анықтамаларда тотализаторлар қызметін жүзеге асыру үшін банктік салым шартын жасасқан кезде ашылған банк шоттары бойынша ақшаның қозғалысы туралы мәліметтердің болмауы (міндетті резервтер мөлшері 10000 айлық есептік көрсеткіш)</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есептік нысандарда бейнежазу жүйелерінің техникалық жай-күйі туралы мәліметтердің болмауы (ойын мекемелерінің кассалары мен ойын орындары жазылған ақпаратты кемінде жеті тәулік сақтауды қамтамасыз ететін және бәс тігуге барлық қатысушылардың әрекеттерін тіркейтін бейне жазу жүйелерімен жабдықталуға тиіс)</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 ұйымдастырушылардың есептілік кезеңнен кейінгі айдың 10 күнінен кешіктірмей тоқсан сайын үш айда кемінде бір рет банктік салым шартын жасасу кезінде ашылған банк шоттары бойынша ақшаның болуы және қозғалысы туралы анықтамаларды және есептілік нысандарын ұсынбау</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2. Бұрынғы бару арқылы профилактикалық бақылау нәтижелері (ауыртпалық дәрежесі төменде көрсетілген талаптарды орындамаған кезде белгіленеді)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Букмекерлік кеңсе қызметін жүзеге асыратын субъектілер</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Есептілік деректерде мынадай ақпараттарды ұсыну туралы талаптарды сақтау:</w:t>
            </w:r>
            <w:r>
              <w:br/>
            </w:r>
            <w:r>
              <w:rPr>
                <w:rFonts w:ascii="Times New Roman"/>
                <w:b w:val="false"/>
                <w:i w:val="false"/>
                <w:color w:val="000000"/>
                <w:sz w:val="20"/>
              </w:rPr>
              <w:t>
1) бейнежазу жүйелерінің техникалық жай-күйі туралы мәліметтер;</w:t>
            </w:r>
            <w:r>
              <w:br/>
            </w:r>
            <w:r>
              <w:rPr>
                <w:rFonts w:ascii="Times New Roman"/>
                <w:b w:val="false"/>
                <w:i w:val="false"/>
                <w:color w:val="000000"/>
                <w:sz w:val="20"/>
              </w:rPr>
              <w:t>
2) кассалар тізімі мен қызметкерлер саны туралы мәліметтер;</w:t>
            </w:r>
            <w:r>
              <w:br/>
            </w:r>
            <w:r>
              <w:rPr>
                <w:rFonts w:ascii="Times New Roman"/>
                <w:b w:val="false"/>
                <w:i w:val="false"/>
                <w:color w:val="000000"/>
                <w:sz w:val="20"/>
              </w:rPr>
              <w:t>
3) қызмет түрінен төленген жалпы салық сомасы туралы мәліметтер</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Букмекерлік кеңсе касалалары тұрғын үй емес үй-жайларда орналасуы бойынша талаптардың сақталуы. Оларды тұрғын үйлердің (тұрғын үй ғимараттарының) тұрғын үй емес үй-жайларында, өнеркәсіптік кәсіпорындарда және олардың кешендерінде, басқа коммуналдық және қойма объектілерінде, мәдени ғимараттарда (құрылыстарда), мемлекеттік органдар мен мекемелер ғимараттарында, білім беру ұйымдарында, денсаулық сақтау, мәдениет, әуежайлар, вокзалдар мекемелерінде, станцияларда және қалалық және қала сыртына көліктік қатынастың аялдамаларында орналастыруға тыйым салынады</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Жазылған ақпаратты кемінде жеті тәулік сақтауды қамтамасыз ететін және барлық құмар ойындарға қатысушылардың іс-қимылын жазып отыратын бейнежазба жүйелерімен ойын мекемелерінің кассалары мен ойын орындарын жабдықтау бойынша талаптарды сақтау</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 талаптарын сақтау, атап айтқанда:</w:t>
            </w:r>
            <w:r>
              <w:br/>
            </w:r>
            <w:r>
              <w:rPr>
                <w:rFonts w:ascii="Times New Roman"/>
                <w:b w:val="false"/>
                <w:i w:val="false"/>
                <w:color w:val="000000"/>
                <w:sz w:val="20"/>
              </w:rPr>
              <w:t xml:space="preserve">
1) қаржылық мониторингке, оның ішінде күдікті операцияларға жататын ақшамен және (немесе) өзге мүлікпен операцияларды жүзеге асырған жағдайда, өз клиенттері (олардың өкілдері) мен бенефициарлық меншіктерге дұрыс тексеруді жүзеге асыру; </w:t>
            </w:r>
            <w:r>
              <w:br/>
            </w:r>
            <w:r>
              <w:rPr>
                <w:rFonts w:ascii="Times New Roman"/>
                <w:b w:val="false"/>
                <w:i w:val="false"/>
                <w:color w:val="000000"/>
                <w:sz w:val="20"/>
              </w:rPr>
              <w:t xml:space="preserve">
2) өз клиенттері (олардың өкілдері) мен бенефициарлық меншіктерге дұрыс тексеру жүргізу кезінде мына шараларды жүзеге асыру: </w:t>
            </w:r>
            <w:r>
              <w:br/>
            </w:r>
            <w:r>
              <w:rPr>
                <w:rFonts w:ascii="Times New Roman"/>
                <w:b w:val="false"/>
                <w:i w:val="false"/>
                <w:color w:val="000000"/>
                <w:sz w:val="20"/>
              </w:rPr>
              <w:t>
жеке тұлғаны сәйкестендіру үшін қажетті мәліметтерді тіркеу, оның жеке басын куәландыратын құжаттар деректері, жеке сәйкестендіру нөмірі, сондай-ақ заңды мекенжайы,меншік бенефициарын анықтау және заңды мекенжайынан басқа оны сәйкестіндіруге қажет мәліметтерді тіркеу; клиент (оның өкілі) және бенефициар меншігі туралы шынайылықты тексеру және мәліметтерді жаңарту;</w:t>
            </w:r>
            <w:r>
              <w:br/>
            </w:r>
            <w:r>
              <w:rPr>
                <w:rFonts w:ascii="Times New Roman"/>
                <w:b w:val="false"/>
                <w:i w:val="false"/>
                <w:color w:val="000000"/>
                <w:sz w:val="20"/>
              </w:rPr>
              <w:t>
3) ішкі бақылау қағидаларына сәйкес өз клиенттерін (олардың өкілдерін) және бенефициар меншіктерін тиісті тексеруді жүзеге асыру</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Аппараттық-бағдарламалық кешенге және алдағы тек нақты оқиғаларға есептелген коэффициенттер негізінде мөлшерлемелерді қабылдау бойынша букмекер кеңсесінің жүзеге асыратын ойын бизнесін ұйымдастырушылардың талаптарды сақтау</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Аппараттық-бағдарламалық кешен жабдығы бойынша букмекер кеңсесінің жүзеге асыратын ойын бизнесін ұйымдастырушылардың талаптарды сақтау</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Аппараттық-бағдарламалық кешен серверіне сәйкес бақылау-кассалық машиналардың мемлекеттік тізіліміне енгізілген компьютерлік жүйе болып табылатын бақылау-кассалық машинаның тіркеу режимін қамтамасыз ету талаптарын ойын бизнесін ұйымдастырушылардың орындауы. Аппараттық-бағдарламалық кешен сервері Қазақстан Республикасының аумағында болуы тиіс</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Букмекер кеңесесі қызметін жүзеге асыратын ойын бизнесін ұйымдастырушылардың аппараттық-бағдарламалық кешен мен бәс тігуді ұйымдастыруға және өткізуге арналған жабдық арқылы жасалған мөлшерлемелердің жалпы сомасын қабылдауды, бірыңғай есепке алуды және бәс тігуге қатысушылардың мөлшерлемелерін өңдеу мен ұтысты төлеуді жүзеге асыруды және қамтамасыз етуді орындауы</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Бәс тігуді аяқтау нұсқаларына ұтыс коэффициенттер есебін, қабылданған мөлшерлемелерді есепке алуды, бәс тігу нәтижелері бойынша ұтыс есебін,ұтыстарды есепке алуды және оларды төлеуді жүзеге асыруды аппараттық-бағдарламалық кешен арқылы букмекер кеңесе қызметін жүзеге асыратын ойын бизнесін ұйымдастырушыларына қойылатын талаптарды сақтау</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 ұйымдастырушылардың букмекер кеңсесі кассаларымен аппараттық-бағдарламалық кешен арқылы өзара іс-қимылды қамтамасыз ету және уәкілетті органға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заңнамасын орындауға бақылауды жүзеге асыруға мүмкіндік беретін ақпаратты жинауды жүзеге асыру және ұсыну бойынша талаптарды сақтауы</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Букмекер кеңсесінің қызметін жүзеге асыру үшiн санитариялық-эпидемиологиялық және өртке қарсы нормаларға сәйкес келетiн меншiк құқығындағы үйдің (үй, құрылыс, ғимарат бөлiктерiнiң) болуы</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меншігінде бәс тігуді ұйымдастыру және өткізу үшін жабдықтың болуы</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қызметін жүзеге асыруға лицензия алған жеке немесе заңды тұлғалармен шарттардың болуы</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 ұйымдастырушының 40000 айлық есептік көрсеткіш мөлшерінде букмекер кеңселері қызметін жүзеге асыруы үшін міндетті резервтерді орналастыруға қойылатын талаптарды сақтауы</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Жиырма бір жасқа дейінгі Қазақстан Республикасы азаматтарының бәс тігуге қатысуға тыйым салуды сақтамау</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мекемесі жұмысының, мөлшерлемелерді қабылдау және өткізілетін құмар ойындар, олармен құмар ойындарға қатысушылар танысу үшін ойын мекемелерінде көрінетін жерге орнатылған қазақ және орыс тілдерінде әзірленген қағидалардың бар болуы</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Тотализатор қызметін жүзеге асыратын субъектілер</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Есептілік деректерде мынадай ақпараттарды ұсыну туралы талаптарды сақтау:</w:t>
            </w:r>
            <w:r>
              <w:br/>
            </w:r>
            <w:r>
              <w:rPr>
                <w:rFonts w:ascii="Times New Roman"/>
                <w:b w:val="false"/>
                <w:i w:val="false"/>
                <w:color w:val="000000"/>
                <w:sz w:val="20"/>
              </w:rPr>
              <w:t>
1) бейнежазу жүйелерінің техникалық жай-күйі туралы мәліметтер;</w:t>
            </w:r>
            <w:r>
              <w:br/>
            </w:r>
            <w:r>
              <w:rPr>
                <w:rFonts w:ascii="Times New Roman"/>
                <w:b w:val="false"/>
                <w:i w:val="false"/>
                <w:color w:val="000000"/>
                <w:sz w:val="20"/>
              </w:rPr>
              <w:t>
2) кассалар тізімі мен қызметкерлер саны туралы мәліметтер;</w:t>
            </w:r>
            <w:r>
              <w:br/>
            </w:r>
            <w:r>
              <w:rPr>
                <w:rFonts w:ascii="Times New Roman"/>
                <w:b w:val="false"/>
                <w:i w:val="false"/>
                <w:color w:val="000000"/>
                <w:sz w:val="20"/>
              </w:rPr>
              <w:t>
3) қызмет түрінен төленген жалпы салық сомасы туралы мәліметтер</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Тотализатор касалалары тұрғын үй емес үй-жайларда орналасуы бойынша талаптардың сақталуы. Оларды тұрғын үйлердің (тұрғын үй ғимараттарының) тұрғын үй емес үй-жайларында, өнеркәсіптік кәсіпорындарда және олардың кешендерінде, басқа коммуналдық және қойма объектілерінде, мәдени ғимараттарда (құрылыстарда), мемлекеттік органдар мен мекемелер ғимараттарында, білім беру ұйымдарында, денсаулық сақтау, мәдениет, әуежайлар, вокзалдар мекемелерінде, станцияларда және қалалық және қала сыртына көліктік қатынастың аялдамаларында орналастыруға тыйым салынады</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Жазылған ақпаратты кемінде жеті тәулік сақтауды қамтамасыз ететін және барлық құмар ойындарға қатысушылардың іс-қимылын жазып отыратын бейнежазба жүйелерімен ойын мекемелерінің кассалары мен ойын орындарын жабдықтау бойынша талаптарды сақтау</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Тотализатор қызметін жүзеге асыратын ойын бизнесін ұйымдастырушылардың бәс тігуді ұйымдастыру мен өткізуге арналған жабдықты орнату бойынша талаптарды сақтау</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 талаптарын сақтау, атап айтқанда:</w:t>
            </w:r>
            <w:r>
              <w:br/>
            </w:r>
            <w:r>
              <w:rPr>
                <w:rFonts w:ascii="Times New Roman"/>
                <w:b w:val="false"/>
                <w:i w:val="false"/>
                <w:color w:val="000000"/>
                <w:sz w:val="20"/>
              </w:rPr>
              <w:t xml:space="preserve">
1) қаржылық мониторингке, оның ішінде күдікті операцияларға жататын ақшамен және (немесе) өзге мүлікпен операцияларды жүзеге асырған жағдайда, өз клиенттері (олардың өкілдері) мен бенефициарлық меншіктерге дұрыс тексеруді жүзеге асыру; </w:t>
            </w:r>
            <w:r>
              <w:br/>
            </w:r>
            <w:r>
              <w:rPr>
                <w:rFonts w:ascii="Times New Roman"/>
                <w:b w:val="false"/>
                <w:i w:val="false"/>
                <w:color w:val="000000"/>
                <w:sz w:val="20"/>
              </w:rPr>
              <w:t xml:space="preserve">
2) өз клиенттері (олардың өкілдері) мен бенефициарлық меншіктерге дұрыс тексеру жүргізу кезінде мына шараларды жүзеге асыру: </w:t>
            </w:r>
            <w:r>
              <w:br/>
            </w:r>
            <w:r>
              <w:rPr>
                <w:rFonts w:ascii="Times New Roman"/>
                <w:b w:val="false"/>
                <w:i w:val="false"/>
                <w:color w:val="000000"/>
                <w:sz w:val="20"/>
              </w:rPr>
              <w:t>
жеке тұлғаны сәйкестендіру үшін қажетті мәліметтерді тіркеу, оның жеке басын куәландыратын құжаттар деректері, жеке сәйкестендіру нөмірі, сондай-ақ заңды мекенжайы,меншік бенефициарын анықтау және заңды мекенжайынан басқа оны сәйкестіндіруге қажет мәліметтерді тіркеу; клиент (оның өкілі) және бенефициар меншігі туралы шынайылықты тексеру және мәліметтерді жаңарту;</w:t>
            </w:r>
            <w:r>
              <w:br/>
            </w:r>
            <w:r>
              <w:rPr>
                <w:rFonts w:ascii="Times New Roman"/>
                <w:b w:val="false"/>
                <w:i w:val="false"/>
                <w:color w:val="000000"/>
                <w:sz w:val="20"/>
              </w:rPr>
              <w:t>
3) ішкі бақылау қағидаларына сәйкес өз клиенттерін (олардың өкілдерін) және бенефициар меншіктерін тиісті тексеруді жүзеге асыру</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Аппараттық-бағдарламалық кешенге және алдағы тек нақты оқиғаларға есептелген коэффициенттер негізінде мөлшерлемелерді қабылдау бойынша букмекер кеңсесінің жүзеге асыратын ойын бизнесін ұйымдастырушылардың талаптарды сақтауы</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Тотализатор кеңсесінің қызметін жүзеге асыру үшiн санитариялық-эпидемиологиялық және өртке қарсы нормаларға сәйкес келетiн меншiк құқығындағы үйдің (үй, құрылыс, ғимарат бөлiктерiнiң) болуы</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меншігінде бәс тігуді ұйымдастыру және өткізу үшін жабдықтың болуы</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қызметін жүзеге асыруға лицензия алған жеке немесе заңды тұлғалармен шарттардың болуы</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 ұйымдастырушының 10000 айлық есептік көрсеткіш мөлшерінде тотализатор қызметін жүзеге асыруы үшін міндетті резервтерді орналастыруға қойылатын талаптарды сақтауы</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Жиырма бір жасқа дейінгі Қазақстан Республикасы азаматтарының бәс тігуге қатысуға тыйым салуды сақтамау</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мекемесі жұмысының, мөлшерлемелерді қабылдау және өткізілетін құмар ойындар, олармен құмар ойындарға қатысушылар танысу үшін ойын мекемелерінде көрінетін жерге орнатылған қазақ және орыс тілдерінде әзірленген қағидалардың бар болуы</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3. Мемлекеттік органдардан түскен мәліметтерді талдау нәтижелері</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ойын бизнесі туралы заңнамасын бұзу фактілерімен мемлекеттік органдардан түскен мәліметтердің болуы</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4. Бұзу фактісін растайтын құжаттарды қоса бере отырып, құқықтарын ойын бизнесін ұйымдастырушылар, жеке және заңды тұлғалар тарапынан түскен шағымдар мен өтініштердің болуы</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 фактісін растайтын құжаттарды қоса бере отырып, құқықтарын ойын бизнесін ұйымдастырушылар бұзған жеке және заңды тұлғалардан бір және одан да көп шағымдар мен өтініштердің болуы</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5. Бақылау субъектісіне (объектісіне) бармай профилактикалық бақылау жүргізу нәтижелері (бақылау субъектісіне (объектісіне) бармай профилактикалық бақылау нәтижелері бойынша берілген қорытынды құжаттар (анықтама, қорытынды, ұсынымдар және басқа)</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бармай профилактикалық бақылау нәтижелері бойынша анықталған бұзушылықтарды жою туралы ұсынымды белгіленген мерзімде орындамау</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Мәдениет және спорт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23 қарашадағы № 331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экономика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міндетін атқарушынің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23 қарашадағы № 76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Мәдениет және спорт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8 тамыздағы № 227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экономика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17 тамыздағы № 373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Казино қызметін жүзеге асыратын ойын бизнесін ұйымдастырушылардың Қазақстан Республикасының ойын бизнесі туралы заңнамасын сақтаудың мемлекеттік бақылау саласындағы тексеру парағы</w:t>
      </w:r>
    </w:p>
    <w:p>
      <w:pPr>
        <w:spacing w:after="0"/>
        <w:ind w:left="0"/>
        <w:jc w:val="both"/>
      </w:pPr>
      <w:r>
        <w:rPr>
          <w:rFonts w:ascii="Times New Roman"/>
          <w:b w:val="false"/>
          <w:i w:val="false"/>
          <w:color w:val="000000"/>
          <w:sz w:val="28"/>
        </w:rPr>
        <w:t>
      Тексеруді тағайындаған мемлекеттік орган________________________________</w:t>
      </w:r>
    </w:p>
    <w:p>
      <w:pPr>
        <w:spacing w:after="0"/>
        <w:ind w:left="0"/>
        <w:jc w:val="both"/>
      </w:pPr>
      <w:r>
        <w:rPr>
          <w:rFonts w:ascii="Times New Roman"/>
          <w:b w:val="false"/>
          <w:i w:val="false"/>
          <w:color w:val="000000"/>
          <w:sz w:val="28"/>
        </w:rPr>
        <w:t>
      Тексеру/бақылау субъектісіне (объектісіне) бару арқылы профилактикалық бақылау</w:t>
      </w:r>
    </w:p>
    <w:p>
      <w:pPr>
        <w:spacing w:after="0"/>
        <w:ind w:left="0"/>
        <w:jc w:val="both"/>
      </w:pPr>
      <w:r>
        <w:rPr>
          <w:rFonts w:ascii="Times New Roman"/>
          <w:b w:val="false"/>
          <w:i w:val="false"/>
          <w:color w:val="000000"/>
          <w:sz w:val="28"/>
        </w:rPr>
        <w:t>
      тағайындау туралы акт 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субъектінің (объектінің) атауы __________________________________</w:t>
      </w:r>
    </w:p>
    <w:p>
      <w:pPr>
        <w:spacing w:after="0"/>
        <w:ind w:left="0"/>
        <w:jc w:val="both"/>
      </w:pPr>
      <w:r>
        <w:rPr>
          <w:rFonts w:ascii="Times New Roman"/>
          <w:b w:val="false"/>
          <w:i w:val="false"/>
          <w:color w:val="000000"/>
          <w:sz w:val="28"/>
        </w:rPr>
        <w:t>
      ____________________________________________________________________ бақылау</w:t>
      </w:r>
    </w:p>
    <w:p>
      <w:pPr>
        <w:spacing w:after="0"/>
        <w:ind w:left="0"/>
        <w:jc w:val="both"/>
      </w:pPr>
      <w:r>
        <w:rPr>
          <w:rFonts w:ascii="Times New Roman"/>
          <w:b w:val="false"/>
          <w:i w:val="false"/>
          <w:color w:val="000000"/>
          <w:sz w:val="28"/>
        </w:rPr>
        <w:t>
      субъектінің (объектінің) (жеке сәйкестендіру нөмірі), бизнес-сәйкестендіру нөмірі</w:t>
      </w:r>
    </w:p>
    <w:p>
      <w:pPr>
        <w:spacing w:after="0"/>
        <w:ind w:left="0"/>
        <w:jc w:val="both"/>
      </w:pPr>
      <w:r>
        <w:rPr>
          <w:rFonts w:ascii="Times New Roman"/>
          <w:b w:val="false"/>
          <w:i w:val="false"/>
          <w:color w:val="000000"/>
          <w:sz w:val="28"/>
        </w:rPr>
        <w:t>
      Орналасқан орнының мекенжайы_______________________________________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3"/>
        <w:gridCol w:w="8925"/>
        <w:gridCol w:w="608"/>
        <w:gridCol w:w="608"/>
        <w:gridCol w:w="608"/>
        <w:gridCol w:w="608"/>
      </w:tblGrid>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8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Есептілік деректерде мынадай ақпараттарды ұсыну туралы талаптарды сақтау:</w:t>
            </w:r>
            <w:r>
              <w:br/>
            </w:r>
            <w:r>
              <w:rPr>
                <w:rFonts w:ascii="Times New Roman"/>
                <w:b w:val="false"/>
                <w:i w:val="false"/>
                <w:color w:val="000000"/>
                <w:sz w:val="20"/>
              </w:rPr>
              <w:t>
1) ойын жабдығының, ойын автоматтарының техникалық жай-күйі туралы мәліметтер;</w:t>
            </w:r>
            <w:r>
              <w:br/>
            </w:r>
            <w:r>
              <w:rPr>
                <w:rFonts w:ascii="Times New Roman"/>
                <w:b w:val="false"/>
                <w:i w:val="false"/>
                <w:color w:val="000000"/>
                <w:sz w:val="20"/>
              </w:rPr>
              <w:t>
2) бейнежазу жүйелерінің техникалық жай-күйі туралы мәліметтер;</w:t>
            </w:r>
            <w:r>
              <w:br/>
            </w:r>
            <w:r>
              <w:rPr>
                <w:rFonts w:ascii="Times New Roman"/>
                <w:b w:val="false"/>
                <w:i w:val="false"/>
                <w:color w:val="000000"/>
                <w:sz w:val="20"/>
              </w:rPr>
              <w:t>
3) ойын автоматына технологиялық салынған ұтыстың белгіленген пайызы туралы мәлімет;</w:t>
            </w:r>
            <w:r>
              <w:br/>
            </w:r>
            <w:r>
              <w:rPr>
                <w:rFonts w:ascii="Times New Roman"/>
                <w:b w:val="false"/>
                <w:i w:val="false"/>
                <w:color w:val="000000"/>
                <w:sz w:val="20"/>
              </w:rPr>
              <w:t>
4) лицензия алған кезде көрсетілген ойын үстелдері санының өзгеруі, жабдықты ауыстыру туралы мәліметтер;</w:t>
            </w:r>
            <w:r>
              <w:br/>
            </w:r>
            <w:r>
              <w:rPr>
                <w:rFonts w:ascii="Times New Roman"/>
                <w:b w:val="false"/>
                <w:i w:val="false"/>
                <w:color w:val="000000"/>
                <w:sz w:val="20"/>
              </w:rPr>
              <w:t>
5) кассалар тізімі мен қызметкерлер саны туралы мәліметтер;</w:t>
            </w:r>
            <w:r>
              <w:br/>
            </w:r>
            <w:r>
              <w:rPr>
                <w:rFonts w:ascii="Times New Roman"/>
                <w:b w:val="false"/>
                <w:i w:val="false"/>
                <w:color w:val="000000"/>
                <w:sz w:val="20"/>
              </w:rPr>
              <w:t>
6) қызмет түрінен төленген жалпы салық сомасы туралы мәліметтер</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казинода кемінде отыз ойын үстелін орнату бойынша талаптарды сақтау</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Казино ойын автоматтарын немесе олардың бөліктерін қабырғаларға, терезе мен есіктер ойығына монтаждауға салынған тыйым салу туралы талаптарды сақтау</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бес пайыздан төмен емес ойын автоматына технологиялық салынған ұтыс пайызына қатысты талаптарды сақтау</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Жазылған ақпаратты кемінде жеті тәулік сақтауды қамтамасыз ететін және барлық құмар ойындарға қатысушылардың іс-қимылын жазып отыратын бейнежазба жүйелерімен ойын мекемелерінің кассалары мен ойын орындарын жабдықтау бойынша талаптарды сақтау</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 талаптарын сақтау, атап айтқанда:</w:t>
            </w:r>
            <w:r>
              <w:br/>
            </w:r>
            <w:r>
              <w:rPr>
                <w:rFonts w:ascii="Times New Roman"/>
                <w:b w:val="false"/>
                <w:i w:val="false"/>
                <w:color w:val="000000"/>
                <w:sz w:val="20"/>
              </w:rPr>
              <w:t xml:space="preserve">
1) қаржылық мониторингке, оның ішінде күдікті операцияларға жататын ақшамен және (немесе) өзге мүлікпен операцияларды жүзеге асырған жағдайда, өз клиенттері (олардың өкілдері) мен бенефициарлық меншіктерге дұрыс тексеруді жүзеге асыру; </w:t>
            </w:r>
            <w:r>
              <w:br/>
            </w:r>
            <w:r>
              <w:rPr>
                <w:rFonts w:ascii="Times New Roman"/>
                <w:b w:val="false"/>
                <w:i w:val="false"/>
                <w:color w:val="000000"/>
                <w:sz w:val="20"/>
              </w:rPr>
              <w:t>
2) өз клиенттері (олардың өкілдері) мен бенефициарлық меншіктерге дұрыс тексеру жүргізу кезінде мына шараларды жүзеге асыру:</w:t>
            </w:r>
            <w:r>
              <w:br/>
            </w:r>
            <w:r>
              <w:rPr>
                <w:rFonts w:ascii="Times New Roman"/>
                <w:b w:val="false"/>
                <w:i w:val="false"/>
                <w:color w:val="000000"/>
                <w:sz w:val="20"/>
              </w:rPr>
              <w:t>
жеке тұлғаны сәйкестендіру үшін қажетті мәліметтерді тіркеу, оның жеке басын куәландыратын құжаттар деректері, жеке сәйкестендіру нөмірі, сондай-ақ заңды мекенжайы,меншік бенефициарын анықтау және заңды мекенжайынан басқа оны сәйкестіндіруге қажет мәліметтерді тіркеу; клиент (оның өкілі) және бенефициар меншігі туралы шынайылықты тексеру және мәліметтерді жаңарту;</w:t>
            </w:r>
            <w:r>
              <w:br/>
            </w:r>
            <w:r>
              <w:rPr>
                <w:rFonts w:ascii="Times New Roman"/>
                <w:b w:val="false"/>
                <w:i w:val="false"/>
                <w:color w:val="000000"/>
                <w:sz w:val="20"/>
              </w:rPr>
              <w:t>
3) ішкі бақылау қағидаларына сәйкес өз клиенттерін (олардың өкілдерін) және бенефициар меншіктерін тиісті тексеруді жүзеге асыру</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Казино қызметін жүзеге асыру үшiн үш жұлдыздан кем емес санаттағы қонақүй кешенінде санитариялық-эпидемиологиялық және өртке қарсы нормаларға сәйкес келетiн меншiк құқығындағы немесе өзге де заңды негіздегі үйдің (үй, құрылыс, ғимарат бөлiктерiнiң) болуы</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Казино қызметін жүзеге асыру үшін меншік құқығында ойын жабдығының болуы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қызметін жүзеге асыруға лицензия алған жеке немесе заңды тұлғалармен шарттардың болуы</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Казино қызметін жүзеге асыру үшін қазақ және орыс тілдерінде қолданылатын заңдастырылған белгілер үлгілері мен номинацияларының болуы</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 ұйымдастырушының 60000 айлық есептік көрсеткіш мөлшерінде казино қызметін жүзеге асыруы үшін міндетті резервтерді орналастыруға қойылатын талаптарды сақтауы</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Жиырма бір жасқа дейінгі Қазақстан Республикасы азаматтарының құмар ойындарға қатысуға тыйым салуды сақтамау</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мекемесі жұмысының, мөлшерлемелерді қабылдау және өткізілетін құмар ойындар, олармен құмар ойындарға қатысушылар танысу үшін ойын мекемелерінде көрінетін жерге орнатылған қазақ және орыс тілдерінде әзірленген қағидалардың бар болуы</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Лауазымды тұлға (тұлғалар)____________________________________________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(лауазымы) (қолы) (тегі, аты, әкесінің аты (бар болған жағдайда))</w:t>
      </w:r>
    </w:p>
    <w:p>
      <w:pPr>
        <w:spacing w:after="0"/>
        <w:ind w:left="0"/>
        <w:jc w:val="both"/>
      </w:pPr>
      <w:r>
        <w:rPr>
          <w:rFonts w:ascii="Times New Roman"/>
          <w:b w:val="false"/>
          <w:i w:val="false"/>
          <w:color w:val="000000"/>
          <w:sz w:val="28"/>
        </w:rPr>
        <w:t>
      Бақылау субъектінің басшысы 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(лауазымы) (қолы)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Мәдениет және спорт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23 қарашадағы № 331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экономика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міндетін атқарушынің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23 қарашадағы № 76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Мәдениет және спорт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8 тамыздағы № 227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экономика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17 тамыздағы № 373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Ойын автоматтары залдары қызметін жүзеге асыратын ойын бизнесін ұйымдастырушылардың Қазақстан Республикасының ойын бизнесі туралы заңнамасын сақтаудың мемлекеттік бақылау саласындағы тексеру парағы</w:t>
      </w:r>
    </w:p>
    <w:p>
      <w:pPr>
        <w:spacing w:after="0"/>
        <w:ind w:left="0"/>
        <w:jc w:val="both"/>
      </w:pPr>
      <w:r>
        <w:rPr>
          <w:rFonts w:ascii="Times New Roman"/>
          <w:b w:val="false"/>
          <w:i w:val="false"/>
          <w:color w:val="000000"/>
          <w:sz w:val="28"/>
        </w:rPr>
        <w:t>
      Тексеруді тағайындаған мемлекеттік орган________________________________</w:t>
      </w:r>
    </w:p>
    <w:p>
      <w:pPr>
        <w:spacing w:after="0"/>
        <w:ind w:left="0"/>
        <w:jc w:val="both"/>
      </w:pPr>
      <w:r>
        <w:rPr>
          <w:rFonts w:ascii="Times New Roman"/>
          <w:b w:val="false"/>
          <w:i w:val="false"/>
          <w:color w:val="000000"/>
          <w:sz w:val="28"/>
        </w:rPr>
        <w:t>
      Тексеру/бақылау субъектісіне (объектісіне) бару арқылы профилактикалық бақылау</w:t>
      </w:r>
    </w:p>
    <w:p>
      <w:pPr>
        <w:spacing w:after="0"/>
        <w:ind w:left="0"/>
        <w:jc w:val="both"/>
      </w:pPr>
      <w:r>
        <w:rPr>
          <w:rFonts w:ascii="Times New Roman"/>
          <w:b w:val="false"/>
          <w:i w:val="false"/>
          <w:color w:val="000000"/>
          <w:sz w:val="28"/>
        </w:rPr>
        <w:t>
      тағайындау туралы акт 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субъектінің (объектінің) атауы __________________________________</w:t>
      </w:r>
    </w:p>
    <w:p>
      <w:pPr>
        <w:spacing w:after="0"/>
        <w:ind w:left="0"/>
        <w:jc w:val="both"/>
      </w:pPr>
      <w:r>
        <w:rPr>
          <w:rFonts w:ascii="Times New Roman"/>
          <w:b w:val="false"/>
          <w:i w:val="false"/>
          <w:color w:val="000000"/>
          <w:sz w:val="28"/>
        </w:rPr>
        <w:t>
      ____________________________________________________________________ бақылау</w:t>
      </w:r>
    </w:p>
    <w:p>
      <w:pPr>
        <w:spacing w:after="0"/>
        <w:ind w:left="0"/>
        <w:jc w:val="both"/>
      </w:pPr>
      <w:r>
        <w:rPr>
          <w:rFonts w:ascii="Times New Roman"/>
          <w:b w:val="false"/>
          <w:i w:val="false"/>
          <w:color w:val="000000"/>
          <w:sz w:val="28"/>
        </w:rPr>
        <w:t>
      субъектінің (объектінің) (жеке сәйкестендіру нөмірі), бизнес-сәйкестендіру нөмірі</w:t>
      </w:r>
    </w:p>
    <w:p>
      <w:pPr>
        <w:spacing w:after="0"/>
        <w:ind w:left="0"/>
        <w:jc w:val="both"/>
      </w:pPr>
      <w:r>
        <w:rPr>
          <w:rFonts w:ascii="Times New Roman"/>
          <w:b w:val="false"/>
          <w:i w:val="false"/>
          <w:color w:val="000000"/>
          <w:sz w:val="28"/>
        </w:rPr>
        <w:t>
      Орналасқан орнының мекенжайы_______________________________________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0"/>
        <w:gridCol w:w="8971"/>
        <w:gridCol w:w="599"/>
        <w:gridCol w:w="600"/>
        <w:gridCol w:w="600"/>
        <w:gridCol w:w="600"/>
      </w:tblGrid>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8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Есептілік деректерде мынадай ақпараттарды ұсыну туралы талаптарды сақтау:</w:t>
            </w:r>
            <w:r>
              <w:br/>
            </w:r>
            <w:r>
              <w:rPr>
                <w:rFonts w:ascii="Times New Roman"/>
                <w:b w:val="false"/>
                <w:i w:val="false"/>
                <w:color w:val="000000"/>
                <w:sz w:val="20"/>
              </w:rPr>
              <w:t>
1) ойын жабдығының, ойын автоматтарының техникалық жай-күйі туралы мәліметтер;</w:t>
            </w:r>
            <w:r>
              <w:br/>
            </w:r>
            <w:r>
              <w:rPr>
                <w:rFonts w:ascii="Times New Roman"/>
                <w:b w:val="false"/>
                <w:i w:val="false"/>
                <w:color w:val="000000"/>
                <w:sz w:val="20"/>
              </w:rPr>
              <w:t>
2) бейнежазу жүйелерінің техникалық жай-күйі туралы мәліметтер;</w:t>
            </w:r>
            <w:r>
              <w:br/>
            </w:r>
            <w:r>
              <w:rPr>
                <w:rFonts w:ascii="Times New Roman"/>
                <w:b w:val="false"/>
                <w:i w:val="false"/>
                <w:color w:val="000000"/>
                <w:sz w:val="20"/>
              </w:rPr>
              <w:t>
3) ойын автоматына технологиялық салынған ұтыстың белгіленген пайызы туралы мәлімет;</w:t>
            </w:r>
            <w:r>
              <w:br/>
            </w:r>
            <w:r>
              <w:rPr>
                <w:rFonts w:ascii="Times New Roman"/>
                <w:b w:val="false"/>
                <w:i w:val="false"/>
                <w:color w:val="000000"/>
                <w:sz w:val="20"/>
              </w:rPr>
              <w:t>
4) лицензия алған кезде көрсетілген ойын үстелдері санының өзгеруі, жабдықты ауыстыру туралы мәліметтер;</w:t>
            </w:r>
            <w:r>
              <w:br/>
            </w:r>
            <w:r>
              <w:rPr>
                <w:rFonts w:ascii="Times New Roman"/>
                <w:b w:val="false"/>
                <w:i w:val="false"/>
                <w:color w:val="000000"/>
                <w:sz w:val="20"/>
              </w:rPr>
              <w:t>
5) кассалар тізімі мен қызметкерлер саны туралы мәліметтер;</w:t>
            </w:r>
            <w:r>
              <w:br/>
            </w:r>
            <w:r>
              <w:rPr>
                <w:rFonts w:ascii="Times New Roman"/>
                <w:b w:val="false"/>
                <w:i w:val="false"/>
                <w:color w:val="000000"/>
                <w:sz w:val="20"/>
              </w:rPr>
              <w:t>
6) қызмет түрінен төленген жалпы салық сомасы туралы мәліметтер</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автоматтары залында кемінде алпыс ойын автоматын орнату жөніндегі талаптарды сақтау</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автоматтары залдарына ойын автоматтарын немесе олардың бөліктерін қабырғаларға, терезе мен есіктер ойығына монтаждауға салынған тыйым салу туралы талаптарды сақтау</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бес пайыздан төмен емес ойын автоматына технологиялық салынған ұтыс пайызына қатысты талаптарды сақтау</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Жазылған ақпаратты кемінде жеті тәулік сақтауды қамтамасыз ететін және барлық құмар ойындарға қатысушылардың іс-қимылын жазып отыратын бейнежазба жүйелерімен ойын мекемелерінің кассалары мен ойын орындарын жабдықтау бойынша талаптарды сақтау</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 талаптарын сақтау, атап айтқанда:</w:t>
            </w:r>
            <w:r>
              <w:br/>
            </w:r>
            <w:r>
              <w:rPr>
                <w:rFonts w:ascii="Times New Roman"/>
                <w:b w:val="false"/>
                <w:i w:val="false"/>
                <w:color w:val="000000"/>
                <w:sz w:val="20"/>
              </w:rPr>
              <w:t xml:space="preserve">
1) қаржылық мониторингке, оның ішінде күдікті операцияларға жататын ақшамен және (немесе) өзге мүлікпен операцияларды жүзеге асырған жағдайда, өз клиенттері (олардың өкілдері) мен бенефициарлық меншіктерге дұрыс тексеруді жүзеге асыру; </w:t>
            </w:r>
            <w:r>
              <w:br/>
            </w:r>
            <w:r>
              <w:rPr>
                <w:rFonts w:ascii="Times New Roman"/>
                <w:b w:val="false"/>
                <w:i w:val="false"/>
                <w:color w:val="000000"/>
                <w:sz w:val="20"/>
              </w:rPr>
              <w:t>
2) өз клиенттері (олардың өкілдері) мен бенефициарлық меншіктерге дұрыс тексеру жүргізу кезінде мына шараларды жүзеге асыру:</w:t>
            </w:r>
            <w:r>
              <w:br/>
            </w:r>
            <w:r>
              <w:rPr>
                <w:rFonts w:ascii="Times New Roman"/>
                <w:b w:val="false"/>
                <w:i w:val="false"/>
                <w:color w:val="000000"/>
                <w:sz w:val="20"/>
              </w:rPr>
              <w:t>
жеке тұлғаны сәйкестендіру үшін қажетті мәліметтерді тіркеу, оның жеке басын куәландыратын құжаттар деректері, жеке сәйкестендіру нөмірі, сондай-ақ заңды мекенжайы, меншік бенефициарын анықтау және заңды мекенжайынан басқа оны сәйкестіндіруге қажет мәліметтерді тіркеу; клиент (оның өкілі) және бенефициар меншігі туралы шынайылықты тексеру және мәліметтерді жаңарту;</w:t>
            </w:r>
            <w:r>
              <w:br/>
            </w:r>
            <w:r>
              <w:rPr>
                <w:rFonts w:ascii="Times New Roman"/>
                <w:b w:val="false"/>
                <w:i w:val="false"/>
                <w:color w:val="000000"/>
                <w:sz w:val="20"/>
              </w:rPr>
              <w:t>
3) ішкі бақылау қағидаларына сәйкес өз клиенттерін (олардың өкілдерін) және бенефициар меншіктерін тиісті тексеруді жүзеге асыру</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автоматтары залы қызметін жүзеге асыру үшiн санитариялық-эпидемиологиялық және өртке қарсы нормаларға сәйкес келетiн меншiк құқығындағы немесе өзге де заңды негіздегі үйдің (үй, құрылыс, ғимарат бөлiктерiнiң) болуы</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автоматтары залының қызметін жүзеге асыру үшін меншік құқығында ойын жабдығының болуы</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қызметін жүзеге асыруға лицензия алған жеке немесе заңды тұлғалармен шарттардың болуы</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автоматтары залының қызметін жүзеге асыру үшін қазақ және орыс тілдерінде қолданылатын заңдастырылған белгілер үлгілері мен номинацияларының болуы</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 ұйымдастырушының 60000 айлық есептік көрсеткіш мөлшерінде ойын автоматтары залдарның қызметін жүзеге асыруы үшін міндетті резервтерді орналастыруға қойылатын талаптарды сақтауы</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Жиырма бір жасқа дейінгі Қазақстан Республикасы азаматтарының құмар ойындарға қатысуға тыйым салуды сақтамау</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мекемесі жұмысының, мөлшерлемелерді қабылдау және өткізілетін құмар ойындар, олармен құмар ойындарға қатысушылар танысу үшін ойын мекемелерінде көрінетін жерге орнатылған қазақ және орыс тілдерінде әзірленген қағидалардың бар болуы</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Лауазымды тұлға (тұлғалар)____________________________________________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(лауазымы) (қолы) (тегі, аты, әкесінің аты (бар болған жағдайда))</w:t>
      </w:r>
    </w:p>
    <w:p>
      <w:pPr>
        <w:spacing w:after="0"/>
        <w:ind w:left="0"/>
        <w:jc w:val="both"/>
      </w:pPr>
      <w:r>
        <w:rPr>
          <w:rFonts w:ascii="Times New Roman"/>
          <w:b w:val="false"/>
          <w:i w:val="false"/>
          <w:color w:val="000000"/>
          <w:sz w:val="28"/>
        </w:rPr>
        <w:t>
      Бақылау субъектінің басшысы 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(лауазымы) (қолы)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Мәдениет және спорт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23 қарашадағы № 331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экономика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міндетін атқарушынің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23 қарашадағы № 76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Букмекерлік кеңсе қызметін жүзеге асыратын ойын бизнесін ұйымдастырушылардың Қазақстан Республикасының ойын бизнесі туралы заңнамасын сақтаудың мемлекеттік бақылау саласындағы тексеру парағы</w:t>
      </w:r>
    </w:p>
    <w:p>
      <w:pPr>
        <w:spacing w:after="0"/>
        <w:ind w:left="0"/>
        <w:jc w:val="both"/>
      </w:pPr>
      <w:r>
        <w:rPr>
          <w:rFonts w:ascii="Times New Roman"/>
          <w:b w:val="false"/>
          <w:i w:val="false"/>
          <w:color w:val="000000"/>
          <w:sz w:val="28"/>
        </w:rPr>
        <w:t>
      Тексеруді тағайындаған мемлекеттік орган________________________________</w:t>
      </w:r>
    </w:p>
    <w:p>
      <w:pPr>
        <w:spacing w:after="0"/>
        <w:ind w:left="0"/>
        <w:jc w:val="both"/>
      </w:pPr>
      <w:r>
        <w:rPr>
          <w:rFonts w:ascii="Times New Roman"/>
          <w:b w:val="false"/>
          <w:i w:val="false"/>
          <w:color w:val="000000"/>
          <w:sz w:val="28"/>
        </w:rPr>
        <w:t>
      Тексеру/бақылау субъектісіне (объектісіне) бару арқылы профилактикалық бақылау</w:t>
      </w:r>
    </w:p>
    <w:p>
      <w:pPr>
        <w:spacing w:after="0"/>
        <w:ind w:left="0"/>
        <w:jc w:val="both"/>
      </w:pPr>
      <w:r>
        <w:rPr>
          <w:rFonts w:ascii="Times New Roman"/>
          <w:b w:val="false"/>
          <w:i w:val="false"/>
          <w:color w:val="000000"/>
          <w:sz w:val="28"/>
        </w:rPr>
        <w:t>
      тағайындау туралы акт 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субъектінің (объектінің) атауы __________________________________</w:t>
      </w:r>
    </w:p>
    <w:p>
      <w:pPr>
        <w:spacing w:after="0"/>
        <w:ind w:left="0"/>
        <w:jc w:val="both"/>
      </w:pPr>
      <w:r>
        <w:rPr>
          <w:rFonts w:ascii="Times New Roman"/>
          <w:b w:val="false"/>
          <w:i w:val="false"/>
          <w:color w:val="000000"/>
          <w:sz w:val="28"/>
        </w:rPr>
        <w:t>
      ____________________________________________________________________ бақылау</w:t>
      </w:r>
    </w:p>
    <w:p>
      <w:pPr>
        <w:spacing w:after="0"/>
        <w:ind w:left="0"/>
        <w:jc w:val="both"/>
      </w:pPr>
      <w:r>
        <w:rPr>
          <w:rFonts w:ascii="Times New Roman"/>
          <w:b w:val="false"/>
          <w:i w:val="false"/>
          <w:color w:val="000000"/>
          <w:sz w:val="28"/>
        </w:rPr>
        <w:t>
      субъектінің (объектінің) (жеке сәйкестендіру нөмірі), бизнес-сәйкестендіру нөмірі</w:t>
      </w:r>
    </w:p>
    <w:p>
      <w:pPr>
        <w:spacing w:after="0"/>
        <w:ind w:left="0"/>
        <w:jc w:val="both"/>
      </w:pPr>
      <w:r>
        <w:rPr>
          <w:rFonts w:ascii="Times New Roman"/>
          <w:b w:val="false"/>
          <w:i w:val="false"/>
          <w:color w:val="000000"/>
          <w:sz w:val="28"/>
        </w:rPr>
        <w:t xml:space="preserve">
      Орналасқан орнының мекенжайы_______________________________________ </w:t>
      </w:r>
    </w:p>
    <w:p>
      <w:pPr>
        <w:spacing w:after="0"/>
        <w:ind w:left="0"/>
        <w:jc w:val="both"/>
      </w:pPr>
      <w:r>
        <w:rPr>
          <w:rFonts w:ascii="Times New Roman"/>
          <w:b w:val="false"/>
          <w:i w:val="false"/>
          <w:color w:val="000000"/>
          <w:sz w:val="28"/>
        </w:rPr>
        <w:t>
      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9"/>
        <w:gridCol w:w="9832"/>
        <w:gridCol w:w="444"/>
        <w:gridCol w:w="445"/>
        <w:gridCol w:w="445"/>
        <w:gridCol w:w="445"/>
      </w:tblGrid>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Есептілік деректерде мынадай ақпараттарды ұсыну туралы талаптарды сақтау:</w:t>
            </w:r>
            <w:r>
              <w:br/>
            </w:r>
            <w:r>
              <w:rPr>
                <w:rFonts w:ascii="Times New Roman"/>
                <w:b w:val="false"/>
                <w:i w:val="false"/>
                <w:color w:val="000000"/>
                <w:sz w:val="20"/>
              </w:rPr>
              <w:t>
1) бейнежазу жүйелерінің техникалық жай-күйі туралы мәліметтер;</w:t>
            </w:r>
            <w:r>
              <w:br/>
            </w:r>
            <w:r>
              <w:rPr>
                <w:rFonts w:ascii="Times New Roman"/>
                <w:b w:val="false"/>
                <w:i w:val="false"/>
                <w:color w:val="000000"/>
                <w:sz w:val="20"/>
              </w:rPr>
              <w:t>
2) кассалар тізімі мен қызметкерлер саны туралы мәліметтер;</w:t>
            </w:r>
            <w:r>
              <w:br/>
            </w:r>
            <w:r>
              <w:rPr>
                <w:rFonts w:ascii="Times New Roman"/>
                <w:b w:val="false"/>
                <w:i w:val="false"/>
                <w:color w:val="000000"/>
                <w:sz w:val="20"/>
              </w:rPr>
              <w:t>
3) қызмет түрінен төленген жалпы салық сомасы туралы мәліметтер</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Букмекерлік кеңсе касалалары тұрғын үй емес үй-жайларда орналасуы бойынша талаптардың сақталуы. Оларды тұрғын үйлердің (тұрғын үй ғимараттарының) тұрғын үй емес үй-жайларында, өнеркәсіптік кәсіпорындарда және олардың кешендерінде, басқа коммуналдық және қойма объектілерінде, мәдени ғимараттарда (құрылыстарда), мемлекеттік органдар мен мекемелер ғимараттарында, білім беру ұйымдарында, денсаулық сақтау, мәдениет, әуежайлар, вокзалдар мекемелерінде, станцияларда және қалалық және қала сыртына көліктік қатынастың аялдамаларында орналастыруға тыйым салынады</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Жазылған ақпаратты кемінде жеті тәулік сақтауды қамтамасыз ететін және барлық құмар ойындарға қатысушылардың іс-қимылын жазып отыратын бейнежазба жүйелерімен ойын мекемелерінің кассалары мен ойын орындарын жабдықтау бойынша талаптарды сақтау</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 талаптарын сақтау, атап айтқанда:</w:t>
            </w:r>
            <w:r>
              <w:br/>
            </w:r>
            <w:r>
              <w:rPr>
                <w:rFonts w:ascii="Times New Roman"/>
                <w:b w:val="false"/>
                <w:i w:val="false"/>
                <w:color w:val="000000"/>
                <w:sz w:val="20"/>
              </w:rPr>
              <w:t xml:space="preserve">
1) қаржылық мониторингке, оның ішінде күдікті операцияларға жататын ақшамен және (немесе) өзге мүлікпен операцияларды жүзеге асырған жағдайда, өз клиенттері (олардың өкілдері) мен бенефициарлық меншіктерге дұрыс тексеруді жүзеге асыру; </w:t>
            </w:r>
            <w:r>
              <w:br/>
            </w:r>
            <w:r>
              <w:rPr>
                <w:rFonts w:ascii="Times New Roman"/>
                <w:b w:val="false"/>
                <w:i w:val="false"/>
                <w:color w:val="000000"/>
                <w:sz w:val="20"/>
              </w:rPr>
              <w:t>
2) өз клиенттері (олардың өкілдері) мен бенефициарлық меншіктерге дұрыс тексеру жүргізу кезінде мына шараларды жүзеге асыру:</w:t>
            </w:r>
            <w:r>
              <w:br/>
            </w:r>
            <w:r>
              <w:rPr>
                <w:rFonts w:ascii="Times New Roman"/>
                <w:b w:val="false"/>
                <w:i w:val="false"/>
                <w:color w:val="000000"/>
                <w:sz w:val="20"/>
              </w:rPr>
              <w:t>
жеке тұлғаны сәйкестендіру үшін қажетті мәліметтерді тіркеу, оның жеке басын куәландыратын құжаттар деректері, жеке сәйкестендіру нөмірі, сондай-ақ заңды мекенжайы,меншік бенефициарын анықтау және заңды мекенжайынан басқа оны сәйкестіндіруге қажет мәліметтерді тіркеу; клиент (оның өкілі) және бенефициар меншігі туралы шынайылықты тексеру және мәліметтерді жаңарту;</w:t>
            </w:r>
            <w:r>
              <w:br/>
            </w:r>
            <w:r>
              <w:rPr>
                <w:rFonts w:ascii="Times New Roman"/>
                <w:b w:val="false"/>
                <w:i w:val="false"/>
                <w:color w:val="000000"/>
                <w:sz w:val="20"/>
              </w:rPr>
              <w:t>
3) ішкі бақылау қағидаларына сәйкес өз клиенттерін (олардың өкілдерін) және бенефициар меншіктерін тиісті тексеруді жүзеге асыру</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Аппараттық-бағдарламалық кешенге және алдағы тек нақты оқиғаларға есептелген коэффициенттер негізінде мөлшерлемелерді қабылдау бойынша букмекер кеңсесінің жүзеге асыратын ойын бизнесін ұйымдастырушылардың талаптарды сақтау</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Аппараттық-бағдарламалық кешен жабдығы бойынша букмекер кеңсесінің жүзеге асыратын ойын бизнесін ұйымдастырушылардың талаптарды сақтау</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Аппараттық-бағдарламалық кешен серверіне сәйкес бақылау-кассалық машиналардың мемлекеттік тізіліміне енгізілген компьютерлік жүйе болып табылатын бақылау-кассалық машинаның тіркеу режимін қамтамасыз ету талаптарын ойын бизнесін ұйымдастырушылардың орындауы Аппараттық-бағдарламалық кешен сервері Қазақстан Республикасының аумағында болуы тиіс</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Букмекер кеңесесі қызметін жүзеге асыратын ойын бизнесін ұйымдастырушылардың аппараттық-бағдарламалық кешен мен бәс тігуді ұйымдастыруға және өткізуге арналған жабдық арқылы жасалған мөлшерлемелердің жалпы сомасын қабылдауды, бірыңғай есепке алуды және бәс тігуге қатысушылардың мөлшерлемелерін өңдеу мен ұтысты төлеуді жүзеге асыруды және қамтамасыз етуді орындауы</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Бәс тігуді аяқтау нұсқаларына ұтыс коэффициенттер есебін, қабылданған мөлшерлемелерді есепке алуды, бәс тігу нәтижелері бойынша ұтыс есебін,ұтыстарды есепке алуды және оларды төлеуді жүзеге асыруды аппараттық-бағдарламалық кешен арқылы букмекер кеңесе қызметін жүзеге асыратын ойын бизнесін ұйымдастырушыларына қойылатын талаптарды сақтау</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 ұйымдастырушылардың букмекер кеңсесі кассаларымен аппараттық-бағдарламалық кешен арқылы өзара іс-қимылды қамтамасыз ету және уәкілетті органға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заңнамасын орындауға бақылауды жүзеге асыруға мүмкіндік беретін ақпаратты жинауды жүзеге асыру және ұсыну бойынша талаптарды сақтауы</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Букмекер кеңсесінің қызметін жүзеге асыру үшiн санитариялық-эпидемиологиялық және өртке қарсы нормаларға сәйкес келетiн меншiк құқығындағы үйдің (үй, құрылыс, ғимарат бөлiктерiнiң) болуы</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меншігінде бәс тігуді ұйымдастыру және өткізу үшін жабдықтың болуы</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қызметін жүзеге асыруға лицензия алған жеке немесе заңды тұлғалармен шарттардың болуы</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 ұйымдастырушының 40000 айлық есептік көрсеткіш мөлшерінде букмекер кеңселері қызметін жүзеге асыруы үшін міндетті резервтерді орналастыруға қойылатын талаптарды сақтауы</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Жиырма бір жасқа дейінгі Қазақстан Республикасы азаматтарының бәс тігуге қатысуға тыйым салуды сақтамау</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мекемесі жұмысының, мөлшерлемелерді қабылдау және өткізілетін құмар ойындар, олармен құмар ойындарға қатысушылар танысу үшін ойын мекемелерінде көрінетін жерге орнатылған қазақ және орыс тілдерінде әзірленген қағидалардың бар болуы</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Лауазымды тұлға (тұлғалар)____________________________________________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(лауазымы) (қолы) (тегі, аты, әкесінің аты (бар болған жағдайда))</w:t>
      </w:r>
    </w:p>
    <w:p>
      <w:pPr>
        <w:spacing w:after="0"/>
        <w:ind w:left="0"/>
        <w:jc w:val="both"/>
      </w:pPr>
      <w:r>
        <w:rPr>
          <w:rFonts w:ascii="Times New Roman"/>
          <w:b w:val="false"/>
          <w:i w:val="false"/>
          <w:color w:val="000000"/>
          <w:sz w:val="28"/>
        </w:rPr>
        <w:t>
      Бақылау субъектінің басшысы 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(лауазымы) (қолы)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Мәдениет және спорт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23 қарашадағы № 331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экономика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міндетін атқарушынің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23 қарашадағы № 76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Тотализаторлар қызметін жүзеге асыратын ойын бизнесін ұйымдастырушылардың Қазақстан Республикасының ойын бизнесі туралы заңнамасын сақтаудың мемлекеттік бақылау саласындағы тексеру парағы</w:t>
      </w:r>
    </w:p>
    <w:p>
      <w:pPr>
        <w:spacing w:after="0"/>
        <w:ind w:left="0"/>
        <w:jc w:val="both"/>
      </w:pPr>
      <w:r>
        <w:rPr>
          <w:rFonts w:ascii="Times New Roman"/>
          <w:b w:val="false"/>
          <w:i w:val="false"/>
          <w:color w:val="000000"/>
          <w:sz w:val="28"/>
        </w:rPr>
        <w:t>
      Тексеруді тағайындаған мемлекеттік орган________________________________</w:t>
      </w:r>
    </w:p>
    <w:p>
      <w:pPr>
        <w:spacing w:after="0"/>
        <w:ind w:left="0"/>
        <w:jc w:val="both"/>
      </w:pPr>
      <w:r>
        <w:rPr>
          <w:rFonts w:ascii="Times New Roman"/>
          <w:b w:val="false"/>
          <w:i w:val="false"/>
          <w:color w:val="000000"/>
          <w:sz w:val="28"/>
        </w:rPr>
        <w:t>
      Тексеру/бақылау субъектісіне (объектісіне) бару арқылы профилактикалық бақылау</w:t>
      </w:r>
    </w:p>
    <w:p>
      <w:pPr>
        <w:spacing w:after="0"/>
        <w:ind w:left="0"/>
        <w:jc w:val="both"/>
      </w:pPr>
      <w:r>
        <w:rPr>
          <w:rFonts w:ascii="Times New Roman"/>
          <w:b w:val="false"/>
          <w:i w:val="false"/>
          <w:color w:val="000000"/>
          <w:sz w:val="28"/>
        </w:rPr>
        <w:t>
      тағайындау туралы акт 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субъектінің (объектінің) атауы __________________________________</w:t>
      </w:r>
    </w:p>
    <w:p>
      <w:pPr>
        <w:spacing w:after="0"/>
        <w:ind w:left="0"/>
        <w:jc w:val="both"/>
      </w:pPr>
      <w:r>
        <w:rPr>
          <w:rFonts w:ascii="Times New Roman"/>
          <w:b w:val="false"/>
          <w:i w:val="false"/>
          <w:color w:val="000000"/>
          <w:sz w:val="28"/>
        </w:rPr>
        <w:t>
      ____________________________________________________________________ бақылау</w:t>
      </w:r>
    </w:p>
    <w:p>
      <w:pPr>
        <w:spacing w:after="0"/>
        <w:ind w:left="0"/>
        <w:jc w:val="both"/>
      </w:pPr>
      <w:r>
        <w:rPr>
          <w:rFonts w:ascii="Times New Roman"/>
          <w:b w:val="false"/>
          <w:i w:val="false"/>
          <w:color w:val="000000"/>
          <w:sz w:val="28"/>
        </w:rPr>
        <w:t>
      субъектінің (объектінің) (жеке сәйкестендіру нөмірі), бизнес-сәйкестендіру нөмірі</w:t>
      </w:r>
    </w:p>
    <w:p>
      <w:pPr>
        <w:spacing w:after="0"/>
        <w:ind w:left="0"/>
        <w:jc w:val="both"/>
      </w:pPr>
      <w:r>
        <w:rPr>
          <w:rFonts w:ascii="Times New Roman"/>
          <w:b w:val="false"/>
          <w:i w:val="false"/>
          <w:color w:val="000000"/>
          <w:sz w:val="28"/>
        </w:rPr>
        <w:t>
      Орналасқан орнының мекенжайы_______________________________________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6"/>
        <w:gridCol w:w="9807"/>
        <w:gridCol w:w="449"/>
        <w:gridCol w:w="449"/>
        <w:gridCol w:w="449"/>
        <w:gridCol w:w="450"/>
      </w:tblGrid>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9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Есептілік деректерде мынадай ақпараттарды ұсыну туралы талаптарды сақтау:</w:t>
            </w:r>
            <w:r>
              <w:br/>
            </w:r>
            <w:r>
              <w:rPr>
                <w:rFonts w:ascii="Times New Roman"/>
                <w:b w:val="false"/>
                <w:i w:val="false"/>
                <w:color w:val="000000"/>
                <w:sz w:val="20"/>
              </w:rPr>
              <w:t>
1) бейнежазу жүйелерінің техникалық жай-күйі туралы мәліметтер;</w:t>
            </w:r>
            <w:r>
              <w:br/>
            </w:r>
            <w:r>
              <w:rPr>
                <w:rFonts w:ascii="Times New Roman"/>
                <w:b w:val="false"/>
                <w:i w:val="false"/>
                <w:color w:val="000000"/>
                <w:sz w:val="20"/>
              </w:rPr>
              <w:t>
2) кассалар тізімі мен қызметкерлер саны туралы мәліметтер;</w:t>
            </w:r>
            <w:r>
              <w:br/>
            </w:r>
            <w:r>
              <w:rPr>
                <w:rFonts w:ascii="Times New Roman"/>
                <w:b w:val="false"/>
                <w:i w:val="false"/>
                <w:color w:val="000000"/>
                <w:sz w:val="20"/>
              </w:rPr>
              <w:t>
3) қызмет түрінен төленген жалпы салық сомасы туралы мәліметтер</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Тотализатор касалалары тұрғын үй емес үй-жайларда орналасуы бойынша талаптардың сақталуы. Оларды тұрғын үйлердің (тұрғын үй ғимараттарының) тұрғын үй емес үй-жайларында, өнеркәсіптік кәсіпорындарда және олардың кешендерінде, басқа коммуналдық және қойма объектілерінде, мәдени ғимараттарда (құрылыстарда), мемлекеттік органдар мен мекемелер ғимараттарында, білім беру ұйымдарында, денсаулық сақтау, мәдениет, әуежайлар, вокзалдар мекемелерінде, станцияларда және қалалық және қала сыртына көліктік қатынастың аялдамаларында орналастыруға тыйым салынады</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Жазылған ақпаратты кемінде жеті тәулік сақтауды қамтамасыз ететін және барлық құмар ойындарға қатысушылардың іс-қимылын жазып отыратын бейнежазба жүйелерімен ойын мекемелерінің кассалары мен ойын орындарын жабдықтау бойынша талаптарды сақтау</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Тотализатор қызметін жүзеге асыратын ойын бизнесін ұйымдастырушылардың бәс тігуді ұйымдастыру мен өткізуге арналған жабдықты орнату бойынша талаптарды сақтау</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 талаптарын сақтау, атап айтқанда:</w:t>
            </w:r>
            <w:r>
              <w:br/>
            </w:r>
            <w:r>
              <w:rPr>
                <w:rFonts w:ascii="Times New Roman"/>
                <w:b w:val="false"/>
                <w:i w:val="false"/>
                <w:color w:val="000000"/>
                <w:sz w:val="20"/>
              </w:rPr>
              <w:t xml:space="preserve">
1) қаржылық мониторингке, оның ішінде күдікті операцияларға жататын ақшамен және (немесе) өзге мүлікпен операцияларды жүзеге асырған жағдайда, өз клиенттері (олардың өкілдері) мен бенефициарлық меншіктерге дұрыс тексеруді жүзеге асыру; </w:t>
            </w:r>
            <w:r>
              <w:br/>
            </w:r>
            <w:r>
              <w:rPr>
                <w:rFonts w:ascii="Times New Roman"/>
                <w:b w:val="false"/>
                <w:i w:val="false"/>
                <w:color w:val="000000"/>
                <w:sz w:val="20"/>
              </w:rPr>
              <w:t>
2) өз клиенттері (олардың өкілдері) мен бенефициарлық меншіктерге дұрыс тексеру жүргізу кезінде мына шараларды жүзеге асыру:</w:t>
            </w:r>
            <w:r>
              <w:br/>
            </w:r>
            <w:r>
              <w:rPr>
                <w:rFonts w:ascii="Times New Roman"/>
                <w:b w:val="false"/>
                <w:i w:val="false"/>
                <w:color w:val="000000"/>
                <w:sz w:val="20"/>
              </w:rPr>
              <w:t>
жеке тұлғаны сәйкестендіру үшін қажетті мәліметтерді тіркеу, оның жеке басын куәландыратын құжаттар деректері, жеке сәйкестендіру нөмірі, сондай-ақ заңды мекенжайы,меншік бенефициарын анықтау және заңды мекенжайынан басқа оны сәйкестіндіруге қажет мәліметтерді тіркеу; клиент (оның өкілі) және бенефициар меншігі туралы шынайылықты тексеру және мәліметтерді жаңарту;</w:t>
            </w:r>
            <w:r>
              <w:br/>
            </w:r>
            <w:r>
              <w:rPr>
                <w:rFonts w:ascii="Times New Roman"/>
                <w:b w:val="false"/>
                <w:i w:val="false"/>
                <w:color w:val="000000"/>
                <w:sz w:val="20"/>
              </w:rPr>
              <w:t>
3) ішкі бақылау қағидаларына сәйкес өз клиенттерін (олардың өкілдерін) және бенефициар меншіктерін тиісті тексеруді жүзеге асыру</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Аппараттық-бағдарламалық кешенге және алдағы тек нақты оқиғаларға есептелген коэффициенттер негізінде мөлшерлемелерді қабылдау бойынша букмекер кеңсесінің жүзеге асыратын ойын бизнесін ұйымдастырушылардың талаптарды сақтауы</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Тотализатор кеңсесінің қызметін жүзеге асыру үшiн санитариялық-эпидемиологиялық және өртке қарсы нормаларға сәйкес келетiн меншiк құқығындағы үйдің (үй, құрылыс, ғимарат бөлiктерiнiң) болуы</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меншігінде бәс тігуді ұйымдастыру және өткізу үшін жабдықтың болуы</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қызметін жүзеге асыруға лицензия алған жеке немесе заңды тұлғалармен шарттардың болуы</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 ұйымдастырушының 10000 айлық есептік көрсеткіш мөлшерінде тотализатор қызметін жүзеге асыруы үшін міндетті резервтерді орналастыруға қойылатын талаптарды сақтауы</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Жиырма бір жасқа дейінгі Қазақстан Республикасы азаматтарының бәс тігуге қатысуға тыйым салуды сақтамау</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мекемесі жұмысының, мөлшерлемелерді қабылдау және өткізілетін құмар ойындар, олармен құмар ойындарға қатысушылар танысу үшін ойын мекемелерінде көрінетін жерге орнатылған қазақ және орыс тілдерінде әзірленген қағидалардың бар болуы</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Лауазымды тұлға (тұлғалар)____________________________________________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(лауазымы) (қолы) (тегі, аты, әкесінің аты (бар болған жағдайда))</w:t>
      </w:r>
    </w:p>
    <w:p>
      <w:pPr>
        <w:spacing w:after="0"/>
        <w:ind w:left="0"/>
        <w:jc w:val="both"/>
      </w:pPr>
      <w:r>
        <w:rPr>
          <w:rFonts w:ascii="Times New Roman"/>
          <w:b w:val="false"/>
          <w:i w:val="false"/>
          <w:color w:val="000000"/>
          <w:sz w:val="28"/>
        </w:rPr>
        <w:t>
      Бақылау субъектінің басшысы 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(лауазымы) (қолы) (тегі, аты, әкесінің аты (бар болған жағдайда))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