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0df7" w14:textId="9780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16 қарашадағы № 634 бұйрығы. Қазақстан Республикасының Әділет министрлігінде 2018 жылғы 20 қарашада № 17764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"Рұқсаттар мен хабарламалар туралы" 2014 жылғы 16 мамырдағы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1-тармағының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(2015 жылғы 30 шілдеде "Әділет" ақпараттық-құқықтық жүйесінде жарияланған, Нормативтік құқықтық актілерді мемлекеттік тіркеу тізілімінде № 11716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білім беру қызметіне қойылатын біліктілік талаптарында және оларға сәйкестікті растайтын құжаттардың тізбесінде:</w:t>
      </w:r>
    </w:p>
    <w:bookmarkEnd w:id="2"/>
    <w:bookmarkStart w:name="z4" w:id="3"/>
    <w:p>
      <w:pPr>
        <w:spacing w:after="0"/>
        <w:ind w:left="0"/>
        <w:jc w:val="both"/>
      </w:pPr>
      <w:r>
        <w:rPr>
          <w:rFonts w:ascii="Times New Roman"/>
          <w:b w:val="false"/>
          <w:i w:val="false"/>
          <w:color w:val="000000"/>
          <w:sz w:val="28"/>
        </w:rPr>
        <w:t>
      реттік нөмірлері 21, 22-жолдар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оқу жоспарларының үлгілік оқу жоспарларына немесе Мемлекеттік жалпыға міндетті техникалық және кәсіптік білім беру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техникалық және кәсіптік білім беру стандартына және тиісті мамандықтың үлгілік оқу жоспарына сәйкес оқытудың толық кезеңіне әзірленген сұралып отырған мамандыққа сәйкес оқу жоспарының мемлекеттік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мемлекеттік жалпыға міндетті білім беру стандартына сәйкестігі туралы біліктілік талаптары уәкілетті орган бекіткен эксперимент режимінде іске асырылатын бағдарламаларға, сондай-ақ Қазақстан Республикасы Ішкі істер министрлігі қылмыстық-атқару жүйесі мекемелерінің жанында орналасқан білім беру ұйымдарындағы тұлғаларды және мүмкіндігі шектеулі тұлғаларды оқытуға арналған жұмыс жоспарларына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мен өндірістік оқыту шеберлерінің үлесі олардың жалпы санынан кемінде 70%, соның ішінде медициналық білім беру ұйымдары үшін қолданбалы бакалавриат, бакалавриат, магистратура деңгейі бар оқытушылар мен мейіргерлердің үлесі оқытушылардың жалпы санынан кемінде 10%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Қазақстан Республикасы Ішкі істер министрлігі қылмыстық-атқару жүйесі мекемелерінің жанында орналасқан білім беру ұйымдарына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нөмірі 25-жол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біліктілікті ескере отырып, интернет желісіне қосылған компьютерлік сыныптармен; оқу-зертханалық жабдықтармен жарақталуы, соның ішінде орта буын медициналық мамандарын даярлау үшін оқу пәндік кабинеттермен, клиникаға дейінгі симуляциялық кабинеттермен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Қазақстан Республикасы Ішкі істер министрлігі қылмыстық-атқару жүйесі мекемелерінің жанында орналасқан білім беру ұйымдарына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реттік нөмірлері 30, 31-жолдар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оқу жоспарларының үлгілік оқу жоспарларына немесе Мемлекеттік жалпыға міндетті орта білімнен кейінгі білім беру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орта білімнен кейінгі білім беру стандартына және тиісті мамандықтың үлгілік оқу жоспарына сәйкес оқытудың толық кезеңіне әзірленген сұралып отырған мамандыққа сәйкес оқу жоспарының мемлекеттік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мемлекеттік жалпыға міндетті білім беру стандартына сәйкестігі туралы біліктілік талаптары уәкілетті орган бекіткен эксперимент режимінде іске асырылатын бағдарламаларға, сондай-ақ Қазақстан Республикасы Ішкі істер министрлігі қылмыстық-атқару жүйесі мекемелерінің жанында орналасқан білім беру ұйымдарындағы тұлғаларды және мүмкіндігі шектеулі тұлғаларды оқытуға арналған жұмыс жоспарларына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мен өндірістік оқыту шеберлерінің үлесі олардың жалпы санынан кемінде 70%, соның ішінде медициналық білім беру ұйымдары үшін қолданбалы бакалавриат, бакалавриат, магистратура деңгейі бар оқытушылар мен мейіргерлердің үлесі оқытушылардың жалпы санынан кемінде 10%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Қазақстан Республикасы Ішкі істер министрлігі қылмыстық-атқару жүйесінің мекемелерінің жанында орналасқан білім беру ұйымдарына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нөмірі 47-жол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Мемлекеттік жалпыға міндетті жоғары білім беру стандарттарына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оқу жұмыс жоспарының мемлекеттік жалпыға міндетті білім беру стандартына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нөмірі 49-жол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пәндерге сәйкес оқытушылардың болуы, оның ішінде оқытушылардың білімі оқытатын пән бейініне және/немесе "ғылым кандидаты" немесе "ғылым докторы" немесе "философия докторы (РhD)" немесе "бейіні бойынша доктор"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атақтары оқытатын пән бейініне сәйкес болуы.</w:t>
            </w:r>
          </w:p>
          <w:p>
            <w:pPr>
              <w:spacing w:after="20"/>
              <w:ind w:left="20"/>
              <w:jc w:val="both"/>
            </w:pPr>
            <w:r>
              <w:rPr>
                <w:rFonts w:ascii="Times New Roman"/>
                <w:b w:val="false"/>
                <w:i w:val="false"/>
                <w:color w:val="000000"/>
                <w:sz w:val="20"/>
              </w:rPr>
              <w:t>
Лицензиат негізгі жұмыс орны болып табылатын оқытушылардың жалпы оқытушылар санындағы үлесі – кемінде 80%; </w:t>
            </w:r>
          </w:p>
          <w:p>
            <w:pPr>
              <w:spacing w:after="20"/>
              <w:ind w:left="20"/>
              <w:jc w:val="both"/>
            </w:pPr>
            <w:r>
              <w:rPr>
                <w:rFonts w:ascii="Times New Roman"/>
                <w:b w:val="false"/>
                <w:i w:val="false"/>
                <w:color w:val="000000"/>
                <w:sz w:val="20"/>
              </w:rPr>
              <w:t>
"Өнер" және "Денсаулық сақтау және әлеуметтік қамтамасыз ету (медицина)" білім саласындағы кадрларды даярлау бағыттары үшін кемінде 60%;</w:t>
            </w:r>
          </w:p>
          <w:p>
            <w:pPr>
              <w:spacing w:after="20"/>
              <w:ind w:left="20"/>
              <w:jc w:val="both"/>
            </w:pPr>
            <w:r>
              <w:rPr>
                <w:rFonts w:ascii="Times New Roman"/>
                <w:b w:val="false"/>
                <w:i w:val="false"/>
                <w:color w:val="000000"/>
                <w:sz w:val="20"/>
              </w:rPr>
              <w:t>
азаматтық авиация саласындағы білім беру бағдарламаларын жүзеге асыратын білім беру ұйымдары үшін – кемінде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реттік нөмірі 50-жол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"Еңбек сiңiрген жаттықтырушы" спорттық атақтары бар оқытушылардың үлесі – университеттер үшін –кемінде 50 %, академиялар үшін кемінде – 30%, институттар үшін кемінде – 30%;</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оқытушылардың үлесі - 60%-дан көп емес; </w:t>
            </w:r>
          </w:p>
          <w:p>
            <w:pPr>
              <w:spacing w:after="20"/>
              <w:ind w:left="20"/>
              <w:jc w:val="both"/>
            </w:pPr>
            <w:r>
              <w:rPr>
                <w:rFonts w:ascii="Times New Roman"/>
                <w:b w:val="false"/>
                <w:i w:val="false"/>
                <w:color w:val="000000"/>
                <w:sz w:val="20"/>
              </w:rPr>
              <w:t>
оқытушылардың жалпы санынан "Өнер" білім беру саласында кадрларды даярлау бағыты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Қазақстан Республикасының құрметті атақтары мен мемлекеттік марапаттары бар оқытушылардың үлесі университеттер үшін – кемінде 50 %, академиялар үшін кемінде – 30%, институттар үшін кемінде – 30%; </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оқытушылардың үлесі - 60%-дан көп емес; </w:t>
            </w:r>
          </w:p>
          <w:p>
            <w:pPr>
              <w:spacing w:after="20"/>
              <w:ind w:left="20"/>
              <w:jc w:val="both"/>
            </w:pPr>
            <w:r>
              <w:rPr>
                <w:rFonts w:ascii="Times New Roman"/>
                <w:b w:val="false"/>
                <w:i w:val="false"/>
                <w:color w:val="000000"/>
                <w:sz w:val="20"/>
              </w:rPr>
              <w:t>
"Денсаулық сақтау және әлеуметтік қамтамасыз ету (медицина)" білім беру саласында кадрларды даярлау бағыты бойынша:</w:t>
            </w:r>
          </w:p>
          <w:p>
            <w:pPr>
              <w:spacing w:after="20"/>
              <w:ind w:left="20"/>
              <w:jc w:val="both"/>
            </w:pPr>
            <w:r>
              <w:rPr>
                <w:rFonts w:ascii="Times New Roman"/>
                <w:b w:val="false"/>
                <w:i w:val="false"/>
                <w:color w:val="000000"/>
                <w:sz w:val="20"/>
              </w:rPr>
              <w:t>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бар оқытушылардың үлесі жалпы оқытушылар санынан кемінде университеттер үшін – кемінде 50 %, академиялар үшін кемінде – 30%, институттар үшін кемінде – 30%;</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және/немесе жоғары/бірінші біліктілік дәрігерлік санаты бар оқытушылардың үлесі - 50%-дан көп емес;</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әскери (арнайы) атағы подполковниктен төмен емес оқытушылардың үлесі кемінде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реттік нөмірі 51-жол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білім беру бағдарламаларын 100% қамтамасыз ететін баспа басылымдары форматындағы;</w:t>
            </w:r>
          </w:p>
          <w:p>
            <w:pPr>
              <w:spacing w:after="20"/>
              <w:ind w:left="20"/>
              <w:jc w:val="both"/>
            </w:pPr>
            <w:r>
              <w:rPr>
                <w:rFonts w:ascii="Times New Roman"/>
                <w:b w:val="false"/>
                <w:i w:val="false"/>
                <w:color w:val="000000"/>
                <w:sz w:val="20"/>
              </w:rPr>
              <w:t>
кадрларды даярлау бағыты бойынша ("Ұлттық қауіпсіздік және әскери іс" білім саласындағы кадрларды даярлау бағытынан басқа) оқу жұмыс жоспарының пәндерін 40% қамтамасыз ететін электронды форматтағы оқу және ғылыми әдебиет қорының болуы. Кітапхана қорында әлеуметтік-гуманитарлық бейіндегі пәндер бойынша негізгі оқу әдебиетінің соңғы бес жылда;</w:t>
            </w:r>
          </w:p>
          <w:p>
            <w:pPr>
              <w:spacing w:after="20"/>
              <w:ind w:left="20"/>
              <w:jc w:val="both"/>
            </w:pPr>
            <w:r>
              <w:rPr>
                <w:rFonts w:ascii="Times New Roman"/>
                <w:b w:val="false"/>
                <w:i w:val="false"/>
                <w:color w:val="000000"/>
                <w:sz w:val="20"/>
              </w:rPr>
              <w:t>
жаратылыстану, техникалық, ауыл шаруашылығы пәндері бойынша соңғы он жылда басылған баспа басылымдарының форматында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реттік нөмірі 52-жол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оқу-зертханалық базамен, сымсыз технологияларды қоса алғанда кең жолақты интернет желісімен, компьютерлік кабинеттермен жарақтандырылуы.</w:t>
            </w:r>
          </w:p>
          <w:p>
            <w:pPr>
              <w:spacing w:after="20"/>
              <w:ind w:left="20"/>
              <w:jc w:val="both"/>
            </w:pPr>
            <w:r>
              <w:rPr>
                <w:rFonts w:ascii="Times New Roman"/>
                <w:b w:val="false"/>
                <w:i w:val="false"/>
                <w:color w:val="000000"/>
                <w:sz w:val="20"/>
              </w:rPr>
              <w:t>
Медициналық бағыт бойынша кадрларды даярлау үшін манекендермен, муляждармен және т.б. жабдықталған практикалық дағдылар орталығының (симулициялық орталықтың)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реттік нөмірі 53-жол алынып тасталсын;</w:t>
      </w:r>
    </w:p>
    <w:bookmarkEnd w:id="11"/>
    <w:bookmarkStart w:name="z13" w:id="12"/>
    <w:p>
      <w:pPr>
        <w:spacing w:after="0"/>
        <w:ind w:left="0"/>
        <w:jc w:val="both"/>
      </w:pPr>
      <w:r>
        <w:rPr>
          <w:rFonts w:ascii="Times New Roman"/>
          <w:b w:val="false"/>
          <w:i w:val="false"/>
          <w:color w:val="000000"/>
          <w:sz w:val="28"/>
        </w:rPr>
        <w:t>
      реттік нөмірі 53-1-жолмен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бағытының бейініне сәйкес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кемінде үш жыл ғылыми-педагогикалық жұмыс өтілі бар, уәкілетті орган ұсынған отандық ғылыми журналдарда және халықаралық ғылыми журналдарда соңғы бес жылда 2 ғылыми жарияланымдардың болуы, сондай-ақ оқулықтың не оқу құралының авторлары болып табылатын жетекші мамандардың, оқытушылардың бакалаврларға ғылыми жетекшілікті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реттік нөмірі 54-жол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айқындалған ұйымдармен жасалған шарттардың болуы, оның ішінде "Педагогикалық ғылым" білім саласындағы кадрларды даярлау бағыты үшін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 Медициналық бағыт бойынша кадрларды даярлау үшін алдыңғы қатарлы шетелдік медициналық білім беру ұйымдарымен стратегиялық әріптестік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толық оқу кезеңін қамтитын, практика базалары ретінде айқындалған ұйымдармен және стратегиялық әріптестік туралы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реттік нөмірі 57-жол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университеттер үшін 3 және одан көп, академиялар үшін 1 және одан көп, институттар үшін 1 және одан көп ауданы санитарлық нормаларға сай оқу орынжайларымен ғимараттардың (оқу корпустардың) болуы.</w:t>
            </w:r>
          </w:p>
          <w:p>
            <w:pPr>
              <w:spacing w:after="20"/>
              <w:ind w:left="20"/>
              <w:jc w:val="both"/>
            </w:pPr>
            <w:r>
              <w:rPr>
                <w:rFonts w:ascii="Times New Roman"/>
                <w:b w:val="false"/>
                <w:i w:val="false"/>
                <w:color w:val="000000"/>
                <w:sz w:val="20"/>
              </w:rPr>
              <w:t>
"Денсаулық сақтау және әлеуметтік қамтамасыз ету (медицина)" білім саласындағы кадрларды даярлау бағыты үшін шаруашылық жүргізу меншікті жеке не жедел басқару құқығындағы клиникасының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құқығының тіркелгені және оның техникалық сипаттамасы туралы ақпарат деректерді "Жылжымайтын мүлік тіркелімі" МДҚ АЖ-дан алу мүмкіндігі болған жағдайда ұсынылмайды.</w:t>
            </w:r>
          </w:p>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(оқу корпустарға) және клиникаларға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реттік нөмірі 58-жол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Мемлекеттік жалпыға міндетті жоғары оқу орнынан кейінгі білім беру стандарттарына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реттік нөмірі 59-жол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және жоғары және жоғары оқу орнынан кейінгі білімі бар кадрларды даярлау бағыттарының сыныптауышына сәйкес жоғары білім берудің оқу бағдарламаларын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кадрларды даярлау бағытына сәйкес алдыңғы деңгей бойынша лицензияның бар болуы туралы мәліметтер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мәртебесі "Е-лицензиялау" МДҚ АЖ-ны пайдалана отырып тексеріледі.</w:t>
            </w:r>
          </w:p>
          <w:p>
            <w:pPr>
              <w:spacing w:after="20"/>
              <w:ind w:left="20"/>
              <w:jc w:val="both"/>
            </w:pPr>
            <w:r>
              <w:rPr>
                <w:rFonts w:ascii="Times New Roman"/>
                <w:b w:val="false"/>
                <w:i w:val="false"/>
                <w:color w:val="000000"/>
                <w:sz w:val="20"/>
              </w:rPr>
              <w:t>
Біліктілік талабы "Денсаулық сақтау және әлеуметтік қамсыздандыру (медицина)" және "Педагогикалық ғылым" білім саласындағы кадрларды даярлау бағыттарына, сондай-ақ Қазақстан Республикасы Бас прокуратурасына ведомстволық бағыныстағы білім беру ұйымдарына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реттік нөмірі 61-жол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даярлаудың тиісті бағыты бойынша лицензиат негізгі жұмыс орны болып табылатын үш ғылым докторының немесе бес ғылым кандидатының немесе бес философия (PhD) докторының болуы; "Ұлттық қауіпсіздік және әскери іс" білім саласындағы кадрларды даярлау бағыты бойынша бір ғылым докторының немесе бір ғылым кандидатының немесе философия (PhD) докторының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реттік нөмірі 62-жол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"Еңбек сiңiрген жаттықтырушы" спорттық атақтары бар оқытушылардың үлесі – университеттер үшін –кемінде 50 %, академиялар үшін кемінде – 30%, институттар үшін – 30%;</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оқытушылардың үлесі - 60%-дан көп емес; </w:t>
            </w:r>
          </w:p>
          <w:p>
            <w:pPr>
              <w:spacing w:after="20"/>
              <w:ind w:left="20"/>
              <w:jc w:val="both"/>
            </w:pPr>
            <w:r>
              <w:rPr>
                <w:rFonts w:ascii="Times New Roman"/>
                <w:b w:val="false"/>
                <w:i w:val="false"/>
                <w:color w:val="000000"/>
                <w:sz w:val="20"/>
              </w:rPr>
              <w:t>
Оқытушылардың жалпы санынан "Өнер" білім саласындағы кадрларды даярлау бағыты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Қазақстан Республикасының құрметті атақтары мен мемлекеттік наградалары бар оқытушылардың үлесі университеттер үшін – кемінде 50 %, академиялар үшін кемінде – 30%, институттар үшін – 30%; </w:t>
            </w:r>
          </w:p>
          <w:p>
            <w:pPr>
              <w:spacing w:after="20"/>
              <w:ind w:left="20"/>
              <w:jc w:val="both"/>
            </w:pP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оқытушылардың үлесі - 60%-дан көп емес; </w:t>
            </w:r>
          </w:p>
          <w:p>
            <w:pPr>
              <w:spacing w:after="20"/>
              <w:ind w:left="20"/>
              <w:jc w:val="both"/>
            </w:pPr>
            <w:r>
              <w:rPr>
                <w:rFonts w:ascii="Times New Roman"/>
                <w:b w:val="false"/>
                <w:i w:val="false"/>
                <w:color w:val="000000"/>
                <w:sz w:val="20"/>
              </w:rPr>
              <w:t>
"Денсаулық сақтау және әлеуметтік қамтамасыз ету (медицина)" білім саласындағы кадрларды даярлау бағыты бойынша:</w:t>
            </w:r>
          </w:p>
          <w:p>
            <w:pPr>
              <w:spacing w:after="20"/>
              <w:ind w:left="20"/>
              <w:jc w:val="both"/>
            </w:pPr>
            <w:r>
              <w:rPr>
                <w:rFonts w:ascii="Times New Roman"/>
                <w:b w:val="false"/>
                <w:i w:val="false"/>
                <w:color w:val="000000"/>
                <w:sz w:val="20"/>
              </w:rPr>
              <w:t>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бар оқытушылардың үлесі жалпы оқытушылар санынан кемінде университеттер үшін – кемінде 50 %, академиялар үшін кемінде – 30%, институттар үшін – 30%;</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әскери (арнайы) атағы подполковниктен төмен емес оқытушылардың үлесі кемінде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реттік нөмірі 63-жол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бағытының бейініне сәйкес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кемінде үш жыл ғылыми-педагогикалық жұмыс өтілі бар, уәкілетті орган ұсынған отандық ғылыми журналдарда және халықаралық лицензияланатын ғылыми журналдарда соңғы бес жылда 10 ғылыми жарияланымдардың болуы, сондай-ақ кемінде 2 оқулықтың не оқу құралының авторы болып табылатын жетекші мамандардың немесе оқытушылардың магистранттарға ғылыми жетекшілікті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оқулығы немесе оқу құралы көрсетілген кадрларды даярлаудың тиісті бағыты бойынша ғылыми жетекшілікті жүзеге асыратын ғылыми жетекшілер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реттік нөмірі 65-жол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реттік нөмірі 67-жол алынып тасталсын;</w:t>
      </w:r>
    </w:p>
    <w:bookmarkEnd w:id="21"/>
    <w:bookmarkStart w:name="z23" w:id="22"/>
    <w:p>
      <w:pPr>
        <w:spacing w:after="0"/>
        <w:ind w:left="0"/>
        <w:jc w:val="both"/>
      </w:pPr>
      <w:r>
        <w:rPr>
          <w:rFonts w:ascii="Times New Roman"/>
          <w:b w:val="false"/>
          <w:i w:val="false"/>
          <w:color w:val="000000"/>
          <w:sz w:val="28"/>
        </w:rPr>
        <w:t>
      реттік нөмірі 68-жол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іске асыру үшін қажетті материалдық техникалық және оқу-зертханалық базалармен, сымсыз технологияларды қоса алғанда кең жолақты интернет желісімен, компьютерлік кабинеттермен, кітапханамен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реттік нөмірі 72-жол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Мемлекеттік жалпыға міндетті жоғары оқу орнынан кейінгі білім беру стандарттарына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мамандықтар бойынша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реттік нөмірі 73-жол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және кемінде үш жыл ғылыми- педагогикалық, кемінде бес жыл клиникалық жұмыс өтілі бар, даярлық бейіні бойынша уәкілетті орган ұсынған отандық ғылыми журналдарда және шетелдік басылымдарда, халықаралық конференциялардың еңбектерінде соңғы бес жылда 4 ғылыми жарияланымдарының және оқу құралының авторы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бар кемінде екі маманның немесе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бар кемінде бір маманның және сұратылып отырған кадрларды даярлау бағыты бойынша жоғары дәрігерлік санаты бар бір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 құралдары, көрсетілген тиісті кадрларды даярлау бағыты бойынша ғылыми жетекшілікті жүзеге асыратын ғылыми жетекшілер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реттік нөмірі 76-жол алынып тасталсын;</w:t>
      </w:r>
    </w:p>
    <w:bookmarkEnd w:id="25"/>
    <w:bookmarkStart w:name="z27" w:id="26"/>
    <w:p>
      <w:pPr>
        <w:spacing w:after="0"/>
        <w:ind w:left="0"/>
        <w:jc w:val="both"/>
      </w:pPr>
      <w:r>
        <w:rPr>
          <w:rFonts w:ascii="Times New Roman"/>
          <w:b w:val="false"/>
          <w:i w:val="false"/>
          <w:color w:val="000000"/>
          <w:sz w:val="28"/>
        </w:rPr>
        <w:t>
      мынадай редакциядағы реттік нөмірі 76-1- жолмен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бағытының бейініне сәйкес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дәрежесі, кемінде үш жыл ғылыми-педагогикалық жұмыс өтілі бар, уәкілетті орган ұсынған отандық ғылыми журналдарда және халықаралық лицензияланатын ғылыми журналдарда соңғы бес жылда 4 ғылыми жарияланымдардың болуы, сондай-ақ кемінде 2 оқулықтың не оқу құралының авторы болып табылатын жетекші мамандардың, оқытушылардың резиденттерге ғылыми жетекшілікті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оқулығы немесе оқу құралы көрсетілген тиісті кадрларды даярлау бағытыбойынша ғылыми жетекшілікті жүзеге асыратын ғылыми жетекшілер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реттік нөмірі 77-жол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базасы ретінде айқындалған ұйымдармен (ғылыми ұйымдарды қоспағанда) және жетекші шетелдік медициналық білім беру ұйымдарымен стратегиялық әріптестік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базасы ретінде айқындалған ұйымдармен және стратегиялық серіктестік туралы жасалған толық оқу циклін қамтитын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8"/>
    <w:p>
      <w:pPr>
        <w:spacing w:after="0"/>
        <w:ind w:left="0"/>
        <w:jc w:val="both"/>
      </w:pPr>
      <w:r>
        <w:rPr>
          <w:rFonts w:ascii="Times New Roman"/>
          <w:b w:val="false"/>
          <w:i w:val="false"/>
          <w:color w:val="000000"/>
          <w:sz w:val="28"/>
        </w:rPr>
        <w:t>
      реттік нөмірі 80-жол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клиникалардың (ғылыми ұйымдарды қоспағанда), материалдық активтердің, оның ішінде санитарлық нормаларға сай оқу орынжайларының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құқығының тіркелгені және оның техникалық сипаттамасы туралы ақпарат деректерді "Жылжымайтын мүлік тіркелімі" МДҚ АЖ-дан алу мүмкіндігі болған жағдайда ұсынылмайды.</w:t>
            </w:r>
          </w:p>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реттік нөмірі 81-жол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Мемлекеттік жалпыға міндетті білім беру стандарттарына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реттік нөмірі 83-жол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ғылыми-педагогикалық жұмыс өтілі бар, даярлық бейіні бойынша отандық басылымдарда, халықаралық конференциялардағы еңбектерде ғылыми жарияланымдардың және оқу құралының авторы болып табылатын кадрларды даярлаудың әрбір ғылыми бағыты бойынша лицензиат негізгі жұмыс орны болып табылатын кемінде бір ғылым докторының немесе екі ғылым кандидатының не философия докторының (PhD) не бейіні бойынша доктордың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реттік нөмірі 84-жол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ведомстволық бағынысты білім беру ұйымдарынан басқа, кадрларды даярлаудың тиісті бағыты бойынша ғылыми алмасу мәселелерін регламенттейтін ведомствоаралық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алмасу мәселелерін регламенттейтін келісімдердің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ұсынылған жағдайда, олардың мемлекеттік немесе орыс тілдеріне аударылып, нотариалды расталған аудармасын қоса беру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реттік нөмірі 85-жол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реттік нөмірі 90-жол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Мемлекеттік жалпыға міндетті жоғары оқу орнынан кейінгі білім беру стандарттарына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оқу жұмыс жоспарының мемлекеттік жалпыға міндетті білім беру стандартына сәйкестігі туралы біліктілік талабы уәкілетті орган бекіткен эксперимент режимінде іске асырылатын бағдарламаларға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реттік нөмірі 92-жол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және жоғары, жоғары оқу орнынан кейінгі білімі бар кадрларды даярлау бағыттарының сыныптауышына сәйкес бакалавриаттың және магистратураның оқу бағдарламаларын іске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кадрларды даярлау бағытына сәйкес алдыңғы деңгей бойынша лицензияның бар болуы туралы мәліметтер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мәртебесі "Е-лицензиялау" МДҚ АЖ-ны пайдалана отырып тексеріледі.</w:t>
            </w:r>
          </w:p>
          <w:p>
            <w:pPr>
              <w:spacing w:after="20"/>
              <w:ind w:left="20"/>
              <w:jc w:val="both"/>
            </w:pPr>
            <w:r>
              <w:rPr>
                <w:rFonts w:ascii="Times New Roman"/>
                <w:b w:val="false"/>
                <w:i w:val="false"/>
                <w:color w:val="000000"/>
                <w:sz w:val="20"/>
              </w:rPr>
              <w:t>
Біліктілік талабы "Денсаулық сақтау және әлеуметтік қамсыздандыру (медицина)" және "Педагогикалық ғылым" білім саласындағы кадрларды даярлау бағыттарына, сондай-ақ Қазақстан Республикасы Бас прокуратурасына ведомстволық бағыныстағы білім беру ұйымдарына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реттік нөмірі 94-жол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аккредиттелген шетелдік жоғары оқу орындарымен ғылыми алмасу туралы шарттардың көшірмелері.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ынтымақтастық туралы шетел тілінде жасалған келісімдерге қол қойылғаны сияқты мемлекеттік немесе орыс тіліндегі бірдей мәтіндегі нұсқаларына да қол қойылады.</w:t>
            </w:r>
          </w:p>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мемлекеттік немесе орыс тілдеріне аударылып, нотариалды расталған аудармасын қоса беру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реттік нөмірі 95-жол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реттік нөмірі 97-жол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Докторанттардың практикадан өту үшін отандық ұйымдармен жасалған шарттардың және шетелдік ғылыми тағылымдамадан өту үшін жасалған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сұратылып отырған кадрларды даярлау бағытына сәйкес практика базалары ретінде айқындалған ұйымдармен және шетелдік ғылыми тағылымдамадан өтетін ұйымдармен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мемлекеттік немесе орыс тілдеріне аударылған, нотариалды расталған нұсқаларын қоса беру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мынадай редакциядағы реттік нөмірлері 97-1, 97-2, 97-3 – жолдармен толықтырылсын: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"бейіні бойынша доктор" немесе "философия докторы (РhD)" дәрежелері бар жетекші мамандардың, оқытушылардың ғылыми жетекшілікті жүзеге асыруы.</w:t>
            </w:r>
          </w:p>
          <w:p>
            <w:pPr>
              <w:spacing w:after="20"/>
              <w:ind w:left="20"/>
              <w:jc w:val="both"/>
            </w:pPr>
            <w:r>
              <w:rPr>
                <w:rFonts w:ascii="Times New Roman"/>
                <w:b w:val="false"/>
                <w:i w:val="false"/>
                <w:color w:val="000000"/>
                <w:sz w:val="20"/>
              </w:rPr>
              <w:t>
Кадрларды даярлау бағыттары бойынша ғылыми-педагогикалық жұмыс өтілі кемінде 3 жыл, соңғы 5 жылда Web of science немесе Scopus халықаралық дәйексөз келтіру жүйесіндегі кемінде 2 және одан көп Хирш индексі бар ғылыми жарияланымының авторы болуы және (немесе) Web of Science базасындағы нөлдік емес импакт-факторы бар халықаралық рецензияланатын ғылыми журналдарда немесе 1, 2 және 3 Scopus квартиль базасына енетін 2 жарияланымының болуы (соңғы бес жылда); және (немесе) халықаралық патенттер, сондай-ақ оқулық не оқу құралының авторы болуы және (немесе) уәкілетті орган ұсынған баспа бетіндегі кемінде 20 жарияланымның болуы (соңғы бес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 және әлеуметтік қамтамасыз ету (медицина)" салалардағы кадрларды даярлау бағыттары бойынша сертификатталған зертханалардың немесе олармен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аккредиттеу туралы куәліктерінің көшірмелері немесе осы зертханалармен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компьютерлік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Плагиатқа тексерудің компьютерлік бағдарламасының бар екенін растайтын құжат 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алынып тасталсын.</w:t>
      </w:r>
    </w:p>
    <w:bookmarkStart w:name="z42" w:id="39"/>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39"/>
    <w:bookmarkStart w:name="z43" w:id="4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0"/>
    <w:bookmarkStart w:name="z44" w:id="4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1"/>
    <w:bookmarkStart w:name="z45" w:id="4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42"/>
    <w:bookmarkStart w:name="z46" w:id="43"/>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3"/>
    <w:bookmarkStart w:name="z47" w:id="4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вице-министріне жүктелсін.</w:t>
      </w:r>
    </w:p>
    <w:bookmarkEnd w:id="44"/>
    <w:bookmarkStart w:name="z48"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талаптарын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6"/>
    <w:p>
      <w:pPr>
        <w:spacing w:after="0"/>
        <w:ind w:left="0"/>
        <w:jc w:val="left"/>
      </w:pPr>
      <w:r>
        <w:rPr>
          <w:rFonts w:ascii="Times New Roman"/>
          <w:b/>
          <w:i w:val="false"/>
          <w:color w:val="000000"/>
        </w:rPr>
        <w:t xml:space="preserve"> Педагог және оқытушы кадрлармен жасақталуы туралы мәліметтер</w:t>
      </w:r>
    </w:p>
    <w:bookmarkEnd w:id="46"/>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орта білімнен кейінгі білімі туралы мәлімет, маман дығы, диплом бойынша біліктілігі, бітірген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 (қоса атқару)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бақылаудан өткені туралы мәлімет (санитарлық кітаптың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 немесе "философия докторы (РhD)" дәрежелері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дәрежелері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атақтары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 мен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нострификациялау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w:t>
      </w:r>
    </w:p>
    <w:p>
      <w:pPr>
        <w:spacing w:after="0"/>
        <w:ind w:left="0"/>
        <w:jc w:val="both"/>
      </w:pPr>
      <w:r>
        <w:rPr>
          <w:rFonts w:ascii="Times New Roman"/>
          <w:b w:val="false"/>
          <w:i w:val="false"/>
          <w:color w:val="000000"/>
          <w:sz w:val="28"/>
        </w:rPr>
        <w:t>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талаптарын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7"/>
    <w:p>
      <w:pPr>
        <w:spacing w:after="0"/>
        <w:ind w:left="0"/>
        <w:jc w:val="left"/>
      </w:pPr>
      <w:r>
        <w:rPr>
          <w:rFonts w:ascii="Times New Roman"/>
          <w:b/>
          <w:i w:val="false"/>
          <w:color w:val="000000"/>
        </w:rPr>
        <w:t xml:space="preserve"> Оқу және ғылыми әдебиеттер қорының болуы туралы мәліметтер</w:t>
      </w:r>
    </w:p>
    <w:bookmarkEnd w:id="47"/>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кадрларды даярлау бағыты бойынша оқу пәні, қызмет түрі, оқыту және тәрбиелеу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әдебиеті (атауы, басылып шыққан жылы, авторлары)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bl>
    <w:p>
      <w:pPr>
        <w:spacing w:after="0"/>
        <w:ind w:left="0"/>
        <w:jc w:val="both"/>
      </w:pPr>
      <w:r>
        <w:rPr>
          <w:rFonts w:ascii="Times New Roman"/>
          <w:b w:val="false"/>
          <w:i w:val="false"/>
          <w:color w:val="000000"/>
          <w:sz w:val="28"/>
        </w:rPr>
        <w:t>
      Білім беру ұйымының басшысы 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жоғары және жоғары оқу орнынан кейінгі білім</w:t>
      </w:r>
    </w:p>
    <w:p>
      <w:pPr>
        <w:spacing w:after="0"/>
        <w:ind w:left="0"/>
        <w:jc w:val="both"/>
      </w:pPr>
      <w:r>
        <w:rPr>
          <w:rFonts w:ascii="Times New Roman"/>
          <w:b w:val="false"/>
          <w:i w:val="false"/>
          <w:color w:val="000000"/>
          <w:sz w:val="28"/>
        </w:rPr>
        <w:t>
      беру ұйымдары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талаптарын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8"/>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аудиториялар, пән кабинеттері*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саны, шығарылым күні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Компьютерлердің жалпы саны көрсетілген компьютерлік сыныптар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медициналық бағыты бойынша "Клиникаға дейінгі симуляциялық кабинеттер"*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техникалық және кәсіптік, орта білімнен кейінгі, жоғары және жоғары оқу</w:t>
      </w:r>
    </w:p>
    <w:p>
      <w:pPr>
        <w:spacing w:after="0"/>
        <w:ind w:left="0"/>
        <w:jc w:val="both"/>
      </w:pPr>
      <w:r>
        <w:rPr>
          <w:rFonts w:ascii="Times New Roman"/>
          <w:b w:val="false"/>
          <w:i w:val="false"/>
          <w:color w:val="000000"/>
          <w:sz w:val="28"/>
        </w:rPr>
        <w:t>
      орнынан кейінгі білім беру ұйымдары үшін ақпарат сұратылып отырған кадрларды даярлау</w:t>
      </w:r>
    </w:p>
    <w:p>
      <w:pPr>
        <w:spacing w:after="0"/>
        <w:ind w:left="0"/>
        <w:jc w:val="both"/>
      </w:pPr>
      <w:r>
        <w:rPr>
          <w:rFonts w:ascii="Times New Roman"/>
          <w:b w:val="false"/>
          <w:i w:val="false"/>
          <w:color w:val="000000"/>
          <w:sz w:val="28"/>
        </w:rPr>
        <w:t>
      бағыты бойынша немесе біліктілік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оларға сәйкестікті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9"/>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w:t>
      </w:r>
    </w:p>
    <w:bookmarkEnd w:id="4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кадрларды даярлау бағыты бойынша оқу пәні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оларға сәйкестікті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0"/>
    <w:p>
      <w:pPr>
        <w:spacing w:after="0"/>
        <w:ind w:left="0"/>
        <w:jc w:val="left"/>
      </w:pPr>
      <w:r>
        <w:rPr>
          <w:rFonts w:ascii="Times New Roman"/>
          <w:b/>
          <w:i w:val="false"/>
          <w:color w:val="000000"/>
        </w:rPr>
        <w:t xml:space="preserve"> Лицензияланатын кадрларды даярлау бағытына сәйкес алдыңғы деңгей бойынша лицензияның болуы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кадрларды даярлау бағытының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кадрларды даярлау бағытының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w:t>
      </w:r>
    </w:p>
    <w:p>
      <w:pPr>
        <w:spacing w:after="0"/>
        <w:ind w:left="0"/>
        <w:jc w:val="both"/>
      </w:pPr>
      <w:r>
        <w:rPr>
          <w:rFonts w:ascii="Times New Roman"/>
          <w:b w:val="false"/>
          <w:i w:val="false"/>
          <w:color w:val="000000"/>
          <w:sz w:val="28"/>
        </w:rPr>
        <w:t>
      (Тегі, аты, әкесінің аты (болған жағдай (қолы)</w:t>
      </w:r>
    </w:p>
    <w:p>
      <w:pPr>
        <w:spacing w:after="0"/>
        <w:ind w:left="0"/>
        <w:jc w:val="both"/>
      </w:pPr>
      <w:r>
        <w:rPr>
          <w:rFonts w:ascii="Times New Roman"/>
          <w:b w:val="false"/>
          <w:i w:val="false"/>
          <w:color w:val="000000"/>
          <w:sz w:val="28"/>
        </w:rPr>
        <w:t>
      Ескертпе * "Философия докторы (PhD)" және "бейіні бойынша доктор" дәрежесін бере</w:t>
      </w:r>
    </w:p>
    <w:p>
      <w:pPr>
        <w:spacing w:after="0"/>
        <w:ind w:left="0"/>
        <w:jc w:val="both"/>
      </w:pPr>
      <w:r>
        <w:rPr>
          <w:rFonts w:ascii="Times New Roman"/>
          <w:b w:val="false"/>
          <w:i w:val="false"/>
          <w:color w:val="000000"/>
          <w:sz w:val="28"/>
        </w:rPr>
        <w:t>
      отырып, жоғары оқу орнынан кейінгі білімнің білім беру бағдарламаларын іске асыратын</w:t>
      </w:r>
    </w:p>
    <w:p>
      <w:pPr>
        <w:spacing w:after="0"/>
        <w:ind w:left="0"/>
        <w:jc w:val="both"/>
      </w:pPr>
      <w:r>
        <w:rPr>
          <w:rFonts w:ascii="Times New Roman"/>
          <w:b w:val="false"/>
          <w:i w:val="false"/>
          <w:color w:val="000000"/>
          <w:sz w:val="28"/>
        </w:rPr>
        <w:t>
      білім беру ұйымдары үшін, ақпарат сұратылып отырған кадрларды даярлау бағытының</w:t>
      </w:r>
    </w:p>
    <w:p>
      <w:pPr>
        <w:spacing w:after="0"/>
        <w:ind w:left="0"/>
        <w:jc w:val="both"/>
      </w:pPr>
      <w:r>
        <w:rPr>
          <w:rFonts w:ascii="Times New Roman"/>
          <w:b w:val="false"/>
          <w:i w:val="false"/>
          <w:color w:val="000000"/>
          <w:sz w:val="28"/>
        </w:rPr>
        <w:t>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оларға сәйкестікті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1"/>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немесе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талаптарын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2"/>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институтының, клиникалық базасының, ғылыми зертханасының, техникалық паркінің, бизнес-инкубаторының болуы (қажеттісін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ақпарат сұратылып отырған кадрларды даярлау бағытының бөлінісінде</w:t>
      </w:r>
    </w:p>
    <w:p>
      <w:pPr>
        <w:spacing w:after="0"/>
        <w:ind w:left="0"/>
        <w:jc w:val="both"/>
      </w:pPr>
      <w:r>
        <w:rPr>
          <w:rFonts w:ascii="Times New Roman"/>
          <w:b w:val="false"/>
          <w:i w:val="false"/>
          <w:color w:val="000000"/>
          <w:sz w:val="28"/>
        </w:rPr>
        <w:t>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