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0bb7" w14:textId="e180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сектордың 2019 жылға арналған сыртқы борышының шекті көлемін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13 қарашадағы № 68 бұйрығы. Қазақстан Республикасының Әділет министрлігінде 2018 жылғы 14 қарашада № 17737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2017 жылғы 28 қыркүйектегі № 601 қаулысымен бекітілген Квазимемлекеттік сектордың сыртқы қарыздарының көлемін келісу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квазимемлекеттік сектордың 2019 жылға арналған сыртқы борышының </w:t>
      </w:r>
      <w:r>
        <w:rPr>
          <w:rFonts w:ascii="Times New Roman"/>
          <w:b w:val="false"/>
          <w:i w:val="false"/>
          <w:color w:val="000000"/>
          <w:sz w:val="28"/>
        </w:rPr>
        <w:t>шекті көлемі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Мемлекет міндеттемелерін басқару және қаржы секторын дамыту саясаты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жүктелсiн.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13 қарашадағы</w:t>
            </w:r>
            <w:r>
              <w:br/>
            </w:r>
            <w:r>
              <w:rPr>
                <w:rFonts w:ascii="Times New Roman"/>
                <w:b w:val="false"/>
                <w:i w:val="false"/>
                <w:color w:val="000000"/>
                <w:sz w:val="20"/>
              </w:rPr>
              <w:t>№ 68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Квазимемлекеттік сектордың 2019 жылға арналған сыртқы борышының шекті көлемі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3620"/>
        <w:gridCol w:w="4500"/>
        <w:gridCol w:w="3228"/>
      </w:tblGrid>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борыштың шекті көлемі, миллион теңге</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борыштың шекті көлемі, миллион Америка Құрама Штаттары доллары*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6 459 242</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18 455</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1 924 451</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ұлттық басқарушы холдингі" акционерлік қоғамы</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441 595</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ұлттық инфокоммуникациялық холдингі" акционерлік қоғамы</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1 Америка Құрама Штаттары доллары үшін 350 теңге бағамы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