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f516" w14:textId="524f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білімі бар кадрларды даярлау бағыттарының сыныптауышын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13 қазандағы № 569 бұйрығы. Қазақстан Республикасының Әділет министрлігінде 2018 жылғы 17 қазанда № 17565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5-3 бабының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м.а. 21.07.2023 </w:t>
      </w:r>
      <w:r>
        <w:rPr>
          <w:rFonts w:ascii="Times New Roman"/>
          <w:b w:val="false"/>
          <w:i w:val="false"/>
          <w:color w:val="000000"/>
          <w:sz w:val="28"/>
        </w:rPr>
        <w:t>№ 327</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берілетін Жоғары және жоғары оқу орнынан кейінгі білімі бар кадрларды даярлау бағыттарының </w:t>
      </w:r>
      <w:r>
        <w:rPr>
          <w:rFonts w:ascii="Times New Roman"/>
          <w:b w:val="false"/>
          <w:i w:val="false"/>
          <w:color w:val="000000"/>
          <w:sz w:val="28"/>
        </w:rPr>
        <w:t>сыныптауышы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құқындағы республикалық мемлекеттік кәсіпорнына ресми жариялау және Қазақстан Республикасы нормативтiк құқықтық актiлерiнiң эталондық бақылау банкiне енгізу үшін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2-1. Қазақстан Республикасы Білім және ғылым министрлігінің Білім және ғылым саласындағы бақылау комитеті:</w:t>
      </w:r>
    </w:p>
    <w:bookmarkEnd w:id="7"/>
    <w:p>
      <w:pPr>
        <w:spacing w:after="0"/>
        <w:ind w:left="0"/>
        <w:jc w:val="both"/>
      </w:pPr>
      <w:r>
        <w:rPr>
          <w:rFonts w:ascii="Times New Roman"/>
          <w:b w:val="false"/>
          <w:i w:val="false"/>
          <w:color w:val="000000"/>
          <w:sz w:val="28"/>
        </w:rPr>
        <w:t>
      1) лицензиаттың өтініші негізінде жоғары және (немесе) жоғары оқу орнынан кейінгі білім берудің мамандықтары бойынша бұрын берілген бiлiм беру қызметiмен айналысуға арналған лицензияларға қосымшаларды осы бұйрыққа сәйкес қайта ресімдеуді қамтамасыз етсін;</w:t>
      </w:r>
    </w:p>
    <w:p>
      <w:pPr>
        <w:spacing w:after="0"/>
        <w:ind w:left="0"/>
        <w:jc w:val="both"/>
      </w:pPr>
      <w:r>
        <w:rPr>
          <w:rFonts w:ascii="Times New Roman"/>
          <w:b w:val="false"/>
          <w:i w:val="false"/>
          <w:color w:val="000000"/>
          <w:sz w:val="28"/>
        </w:rPr>
        <w:t>
      2) жоғары оқу орнынан кейінгі білім берудің мамандықтары бойынша бiлiм беру қызметiмен айналысуға арналған лицензияларға қосымшаларды қайта ресімдеу кезінде осы бұйрықты және білім беру саласындағы уәкілетті органның әдістемелік нұсқаулықтарын басшылыққа 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2-1-тармақпен толықтырылды – ҚР Білім және ғылым министрінің 25.01.2019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13 қазандағы</w:t>
            </w:r>
            <w:r>
              <w:br/>
            </w:r>
            <w:r>
              <w:rPr>
                <w:rFonts w:ascii="Times New Roman"/>
                <w:b w:val="false"/>
                <w:i w:val="false"/>
                <w:color w:val="000000"/>
                <w:sz w:val="20"/>
              </w:rPr>
              <w:t>№ 569 бұйрығына</w:t>
            </w:r>
            <w:r>
              <w:br/>
            </w:r>
            <w:r>
              <w:rPr>
                <w:rFonts w:ascii="Times New Roman"/>
                <w:b w:val="false"/>
                <w:i w:val="false"/>
                <w:color w:val="000000"/>
                <w:sz w:val="20"/>
              </w:rPr>
              <w:t>қосымша</w:t>
            </w:r>
          </w:p>
        </w:tc>
      </w:tr>
    </w:tbl>
    <w:bookmarkStart w:name="z11" w:id="10"/>
    <w:p>
      <w:pPr>
        <w:spacing w:after="0"/>
        <w:ind w:left="0"/>
        <w:jc w:val="left"/>
      </w:pPr>
      <w:r>
        <w:rPr>
          <w:rFonts w:ascii="Times New Roman"/>
          <w:b/>
          <w:i w:val="false"/>
          <w:color w:val="000000"/>
        </w:rPr>
        <w:t xml:space="preserve"> Жоғары және жоғары оқу орнынан кейінгі білімі бар кадрларды даярлау бағыттарының сыныптауышы</w:t>
      </w:r>
    </w:p>
    <w:bookmarkEnd w:id="10"/>
    <w:p>
      <w:pPr>
        <w:spacing w:after="0"/>
        <w:ind w:left="0"/>
        <w:jc w:val="both"/>
      </w:pPr>
      <w:r>
        <w:rPr>
          <w:rFonts w:ascii="Times New Roman"/>
          <w:b w:val="false"/>
          <w:i w:val="false"/>
          <w:color w:val="ff0000"/>
          <w:sz w:val="28"/>
        </w:rPr>
        <w:t xml:space="preserve">
      Ескерту. Сыныптауыш жаңа редакцияда - ҚР Білім және ғылым министрінің 05.06.2020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Ғылым және жоғары білім министрінің 16.05.2023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13.04.2026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стандарттық білім беру жіктеуішіндегі код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 бакалавриатта даярлау бағыты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Әлеуметік педагогика мамандарын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6B021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6B032 Журналистика және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6B055 Геология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6B074 Су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6B085 Жерге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6B101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6В115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6B122 Ұлттық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 магистратурада даярлау бағыттары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 Педагогикалық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7M014 Жалпы дамудың пәндік мамандандырылған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Әлеуметік педагогика мамандарын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7М0120 Кәсіптік оқыту (бейіні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 Өнер және гуманитарлық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 Әлеуметтік ғылымдар, журналистика және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 Жаратылыстану ғылымдары, математика және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7M055 Геология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7М081 Агрономия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7M085 Жерге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7M112 Гигиена және өндірісте еңбекті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Әлеуметтік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7М115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7M121 Әскери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7M122 Ұлттық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 резидентурада даярлау бағыттары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 докторантурада даярлау бағыттары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педагогтарды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Әлеуметік педагогика мамандарын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8D0120 Кәсіптік оқыту (бейіні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8D021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8D055 Геология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8D081Агрономия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8D085 Жерге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8D101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және өндірісте еңбекті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8D115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8D121 Әскери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8D122 Ұлттық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bl>
    <w:bookmarkStart w:name="z13" w:id="11"/>
    <w:p>
      <w:pPr>
        <w:spacing w:after="0"/>
        <w:ind w:left="0"/>
        <w:jc w:val="both"/>
      </w:pPr>
      <w:r>
        <w:rPr>
          <w:rFonts w:ascii="Times New Roman"/>
          <w:b w:val="false"/>
          <w:i w:val="false"/>
          <w:color w:val="000000"/>
          <w:sz w:val="28"/>
        </w:rPr>
        <w:t>
      ЕСКЕРТПЕ:</w:t>
      </w:r>
    </w:p>
    <w:bookmarkEnd w:id="11"/>
    <w:bookmarkStart w:name="z14" w:id="12"/>
    <w:p>
      <w:pPr>
        <w:spacing w:after="0"/>
        <w:ind w:left="0"/>
        <w:jc w:val="both"/>
      </w:pPr>
      <w:r>
        <w:rPr>
          <w:rFonts w:ascii="Times New Roman"/>
          <w:b w:val="false"/>
          <w:i w:val="false"/>
          <w:color w:val="000000"/>
          <w:sz w:val="28"/>
        </w:rPr>
        <w:t>
      1. Сыныптауышта жоғары жəне жоғары оқу орнынан кейінгі білім беру салалары мен даярлау бағыттары топтарға біріктірілген және Халықаралық стандарттық білім беру жіктеуішіне-2013 сәйкес жеті цифрлық кодпен көрсетілген:</w:t>
      </w:r>
    </w:p>
    <w:bookmarkEnd w:id="12"/>
    <w:p>
      <w:pPr>
        <w:spacing w:after="0"/>
        <w:ind w:left="0"/>
        <w:jc w:val="both"/>
      </w:pPr>
      <w:r>
        <w:rPr>
          <w:rFonts w:ascii="Times New Roman"/>
          <w:b w:val="false"/>
          <w:i w:val="false"/>
          <w:color w:val="000000"/>
          <w:sz w:val="28"/>
        </w:rPr>
        <w:t xml:space="preserve">
      Бірінші және екінші код цифрлық және әріптік белгілері Еуропалық біліктілік шеңберіне сәйкес келетін Ұлттық біліктілік шеңберіне сай білім беру деңгейін көрсетеді: </w:t>
      </w:r>
    </w:p>
    <w:p>
      <w:pPr>
        <w:spacing w:after="0"/>
        <w:ind w:left="0"/>
        <w:jc w:val="both"/>
      </w:pPr>
      <w:r>
        <w:rPr>
          <w:rFonts w:ascii="Times New Roman"/>
          <w:b w:val="false"/>
          <w:i w:val="false"/>
          <w:color w:val="000000"/>
          <w:sz w:val="28"/>
        </w:rPr>
        <w:t>
      - бакалавриат - 6B;</w:t>
      </w:r>
    </w:p>
    <w:p>
      <w:pPr>
        <w:spacing w:after="0"/>
        <w:ind w:left="0"/>
        <w:jc w:val="both"/>
      </w:pPr>
      <w:r>
        <w:rPr>
          <w:rFonts w:ascii="Times New Roman"/>
          <w:b w:val="false"/>
          <w:i w:val="false"/>
          <w:color w:val="000000"/>
          <w:sz w:val="28"/>
        </w:rPr>
        <w:t>
      - магистратура/резидентура - 7M/7R;</w:t>
      </w:r>
    </w:p>
    <w:p>
      <w:pPr>
        <w:spacing w:after="0"/>
        <w:ind w:left="0"/>
        <w:jc w:val="both"/>
      </w:pPr>
      <w:r>
        <w:rPr>
          <w:rFonts w:ascii="Times New Roman"/>
          <w:b w:val="false"/>
          <w:i w:val="false"/>
          <w:color w:val="000000"/>
          <w:sz w:val="28"/>
        </w:rPr>
        <w:t>
      - докторантура - 8D.</w:t>
      </w:r>
    </w:p>
    <w:p>
      <w:pPr>
        <w:spacing w:after="0"/>
        <w:ind w:left="0"/>
        <w:jc w:val="both"/>
      </w:pPr>
      <w:r>
        <w:rPr>
          <w:rFonts w:ascii="Times New Roman"/>
          <w:b w:val="false"/>
          <w:i w:val="false"/>
          <w:color w:val="000000"/>
          <w:sz w:val="28"/>
        </w:rPr>
        <w:t>
      Үшінші және төртінші код белгілері жоғары жəне жоғары оқу орнынан кейінгі білім беру салаларын көрсетеді.</w:t>
      </w:r>
    </w:p>
    <w:p>
      <w:pPr>
        <w:spacing w:after="0"/>
        <w:ind w:left="0"/>
        <w:jc w:val="both"/>
      </w:pPr>
      <w:r>
        <w:rPr>
          <w:rFonts w:ascii="Times New Roman"/>
          <w:b w:val="false"/>
          <w:i w:val="false"/>
          <w:color w:val="000000"/>
          <w:sz w:val="28"/>
        </w:rPr>
        <w:t xml:space="preserve">
      Бесінші код белгісі жоғары жəне жоғары оқу орнынан кейінгі білім беру саласындағы даярлау бағытын көрсетеді. </w:t>
      </w:r>
    </w:p>
    <w:p>
      <w:pPr>
        <w:spacing w:after="0"/>
        <w:ind w:left="0"/>
        <w:jc w:val="both"/>
      </w:pPr>
      <w:r>
        <w:rPr>
          <w:rFonts w:ascii="Times New Roman"/>
          <w:b w:val="false"/>
          <w:i w:val="false"/>
          <w:color w:val="000000"/>
          <w:sz w:val="28"/>
        </w:rPr>
        <w:t>
      Алтыншы және жетінші код белгілері жоғары жəне жоғары оқу орнынан кейінгі білім беру бағдарламаларын анықтайды және оларды жоғары оқу орны дербес белгілейді.</w:t>
      </w:r>
    </w:p>
    <w:p>
      <w:pPr>
        <w:spacing w:after="0"/>
        <w:ind w:left="0"/>
        <w:jc w:val="both"/>
      </w:pPr>
      <w:r>
        <w:rPr>
          <w:rFonts w:ascii="Times New Roman"/>
          <w:b w:val="false"/>
          <w:i w:val="false"/>
          <w:color w:val="000000"/>
          <w:sz w:val="28"/>
        </w:rPr>
        <w:t xml:space="preserve">
      Осы ретте әрбір даярлау бағыты шеңберінде жоғару оқу орны екі немесе одан да көп білім беру саласының немесе даярлау бағыттарының түйістігінде пәнаралық білім беру бағдарламаларын дербес түрде әзірлейді. "Негізгі пән ұстанымы" пәнаралық оқытуды сәйкестендіру үшін білім беру саласын анықтау мақсатында қолданылады. Негізгі пән немесе пәндер білім беру саласын немесе бағытты анықтайды. Бір немесе бірнеше негізгі пәндерді анықтаудың көрсеткіші ретінде академиялық кредиттер немесе мөлшерленген оқу уақытының үлесі болып табылады. </w:t>
      </w:r>
    </w:p>
    <w:p>
      <w:pPr>
        <w:spacing w:after="0"/>
        <w:ind w:left="0"/>
        <w:jc w:val="both"/>
      </w:pPr>
      <w:r>
        <w:rPr>
          <w:rFonts w:ascii="Times New Roman"/>
          <w:b w:val="false"/>
          <w:i w:val="false"/>
          <w:color w:val="000000"/>
          <w:sz w:val="28"/>
        </w:rPr>
        <w:t xml:space="preserve">
      Пәнаралық бағдарламалар білім беру саласының кодына "088" цифрларын қосу және жақшаларда пәнаралық бағдарламаның реттік нөмерін көрсету арқылы сыныпталады (мысалы: 6В01088 (1) "Пәнаралық бағдарламаның атауы"). </w:t>
      </w:r>
    </w:p>
    <w:bookmarkStart w:name="z15" w:id="13"/>
    <w:p>
      <w:pPr>
        <w:spacing w:after="0"/>
        <w:ind w:left="0"/>
        <w:jc w:val="both"/>
      </w:pPr>
      <w:r>
        <w:rPr>
          <w:rFonts w:ascii="Times New Roman"/>
          <w:b w:val="false"/>
          <w:i w:val="false"/>
          <w:color w:val="000000"/>
          <w:sz w:val="28"/>
        </w:rPr>
        <w:t>
      2. Кадрларды даярлау бағыттары шеңберінде тиісті бейін бойынша білім беру бағдарламаларының топтары қалыптастырылады, олар өз кезегінде Жоғары білім берудің бірыңғай платформасына кіретін Білім беру бағдарламаларының тізілімінде көрсетіледі.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