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839b" w14:textId="6b78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5 қыркүйектегі № 628 бұйрығы. Қазақстан Республикасының Әділет министрлігінде 2018 жылғы 29 қыркүйекте № 17454 болып тіркелді. Күші жойылды - Қазақстан Республикасы Өнеркәсіп және құрылыс министрінің м.а. 2025 жылғы 30 шiлдедегi № 288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11620 болып тіркелген, 2015 жылғы 16 шілдеде "Әділет" ақпараттық-құқықтық жүйесінде жарияланған) мынадай өзгерістер мен толықтыру енгізілсін: көрсетілген бұйрықпен бекітілген Жылумен, сумен жабдықтау және су бұру жүйелерін салуды, реконструкциялауды және жаңғыртуды 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 </w:t>
      </w:r>
    </w:p>
    <w:bookmarkStart w:name="z4" w:id="2"/>
    <w:p>
      <w:pPr>
        <w:spacing w:after="0"/>
        <w:ind w:left="0"/>
        <w:jc w:val="both"/>
      </w:pPr>
      <w:r>
        <w:rPr>
          <w:rFonts w:ascii="Times New Roman"/>
          <w:b w:val="false"/>
          <w:i w:val="false"/>
          <w:color w:val="000000"/>
          <w:sz w:val="28"/>
        </w:rPr>
        <w:t>
      "7) Қарыз алушы – облыстардың, республикалық маңызы бар қалалардың және астананың жергілікті атқарушы органдары;";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7) тармақша алып тасталсын;</w:t>
      </w:r>
    </w:p>
    <w:bookmarkEnd w:id="3"/>
    <w:bookmarkStart w:name="z7" w:id="4"/>
    <w:p>
      <w:pPr>
        <w:spacing w:after="0"/>
        <w:ind w:left="0"/>
        <w:jc w:val="both"/>
      </w:pPr>
      <w:r>
        <w:rPr>
          <w:rFonts w:ascii="Times New Roman"/>
          <w:b w:val="false"/>
          <w:i w:val="false"/>
          <w:color w:val="000000"/>
          <w:sz w:val="28"/>
        </w:rPr>
        <w:t>
      8) тармақша мынадай редакцияда жазылсын:</w:t>
      </w:r>
    </w:p>
    <w:bookmarkEnd w:id="4"/>
    <w:bookmarkStart w:name="z8" w:id="5"/>
    <w:p>
      <w:pPr>
        <w:spacing w:after="0"/>
        <w:ind w:left="0"/>
        <w:jc w:val="both"/>
      </w:pPr>
      <w:r>
        <w:rPr>
          <w:rFonts w:ascii="Times New Roman"/>
          <w:b w:val="false"/>
          <w:i w:val="false"/>
          <w:color w:val="000000"/>
          <w:sz w:val="28"/>
        </w:rPr>
        <w:t>
      "8) бірыңғай техникалық саясатты қолданады, оның ішінде энергия тиімділігіне және энергия үнемдеуге бағдарланған жаңа қазіргі заманғы және инновациялық технологияларды енгізеді, сондай-ақ жылумен, сумен жабдықтау және су бұру жүйелерін салу, реконструкциялау және жаңғырту кезінде жабдықтардың қызмет ету мерзімін ұзартатын технологияларды аспаптандырады және қолданады;";</w:t>
      </w:r>
    </w:p>
    <w:bookmarkEnd w:id="5"/>
    <w:bookmarkStart w:name="z9" w:id="6"/>
    <w:p>
      <w:pPr>
        <w:spacing w:after="0"/>
        <w:ind w:left="0"/>
        <w:jc w:val="both"/>
      </w:pPr>
      <w:r>
        <w:rPr>
          <w:rFonts w:ascii="Times New Roman"/>
          <w:b w:val="false"/>
          <w:i w:val="false"/>
          <w:color w:val="000000"/>
          <w:sz w:val="28"/>
        </w:rPr>
        <w:t>
      10) тармақша мынадай редакцияда жазылсын:</w:t>
      </w:r>
    </w:p>
    <w:bookmarkEnd w:id="6"/>
    <w:bookmarkStart w:name="z10" w:id="7"/>
    <w:p>
      <w:pPr>
        <w:spacing w:after="0"/>
        <w:ind w:left="0"/>
        <w:jc w:val="both"/>
      </w:pPr>
      <w:r>
        <w:rPr>
          <w:rFonts w:ascii="Times New Roman"/>
          <w:b w:val="false"/>
          <w:i w:val="false"/>
          <w:color w:val="000000"/>
          <w:sz w:val="28"/>
        </w:rPr>
        <w:t>
      "10) жылумен, сумен жабдықтау және су бұру жүйелерін салу, реконструкциялау және жаңғырту кезінде түпкілікті тұтынушылар үшін көрсетілетін қызметтердің, цифрлық экономика құралдарының сапасын жақсарту, басқарушы компаниялардың корпоративтік басқаруын жақсарту, мәдениетті дамыту және смарт құрылғыларды пайдалану ретінде бизнес-процестерді оңтайландыру және ашықтығы үшін энергия тиімділігі және ресурс үнемдеу және интеллектуалды жүйелерді енгізу жөніндегі іс-шараларды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 </w:t>
      </w:r>
    </w:p>
    <w:bookmarkStart w:name="z12" w:id="8"/>
    <w:p>
      <w:pPr>
        <w:spacing w:after="0"/>
        <w:ind w:left="0"/>
        <w:jc w:val="both"/>
      </w:pPr>
      <w:r>
        <w:rPr>
          <w:rFonts w:ascii="Times New Roman"/>
          <w:b w:val="false"/>
          <w:i w:val="false"/>
          <w:color w:val="000000"/>
          <w:sz w:val="28"/>
        </w:rPr>
        <w:t>
      "1) Сенім білдірілген өкілдің (агенттің) жобаның жалпы құнына бюджеттік кредит беру мүмкіндігі туралы қорытындысы;";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xml:space="preserve">
      "29. Түпкілікті қарыз алушының төлем қабілеттілігі (кредиттік қабілеттілігі) – Түпкілікті қарыз алушының, жоспарлы кезеңде де қаржылық жағдайын талдауды ескере отырып, оның бюджеттік кредитті қайтару мүмкіндігі. </w:t>
      </w:r>
    </w:p>
    <w:bookmarkEnd w:id="9"/>
    <w:p>
      <w:pPr>
        <w:spacing w:after="0"/>
        <w:ind w:left="0"/>
        <w:jc w:val="both"/>
      </w:pPr>
      <w:r>
        <w:rPr>
          <w:rFonts w:ascii="Times New Roman"/>
          <w:b w:val="false"/>
          <w:i w:val="false"/>
          <w:color w:val="000000"/>
          <w:sz w:val="28"/>
        </w:rPr>
        <w:t>
      Қаржылық жағдайды бағалау осы Қағидаларға 1-қосымшаға сәйкес қаржылық есептілікті, Әлеуетті түпкілікті қарыз алушының қаржылық жағдайын балдық бағалау және өзге қолайлы ақпаратты талдау негізінде жүргізіледі.</w:t>
      </w:r>
    </w:p>
    <w:p>
      <w:pPr>
        <w:spacing w:after="0"/>
        <w:ind w:left="0"/>
        <w:jc w:val="both"/>
      </w:pPr>
      <w:r>
        <w:rPr>
          <w:rFonts w:ascii="Times New Roman"/>
          <w:b w:val="false"/>
          <w:i w:val="false"/>
          <w:color w:val="000000"/>
          <w:sz w:val="28"/>
        </w:rPr>
        <w:t xml:space="preserve">
      Түпкілікті қарыз алушының қаржылық жағдайын бағалаудың нәтижелері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6) тармақшасына сәйкес құжаттар топтамасының құрамында Жұмыс тобының қарауына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"64. Сенім білдірілген өкіл (агент) бюджеттік кредит алуға арналған өтінім тіркелген күннен бастап 20 (жиырма) жұмыс күн өткеннен кейін келесі жұмыс күнінде Жұмыс тобының хатшысына Жұмыс тобының алдағы отырысының күн тәртібіне енгізу үшін жобаның жалпы құнына бюджеттік кредит беру мүмкіндігі (беруден бас тарту) туралы қорытынды ұсынады.";</w:t>
      </w:r>
    </w:p>
    <w:bookmarkEnd w:id="10"/>
    <w:bookmarkStart w:name="z17" w:id="11"/>
    <w:p>
      <w:pPr>
        <w:spacing w:after="0"/>
        <w:ind w:left="0"/>
        <w:jc w:val="both"/>
      </w:pPr>
      <w:r>
        <w:rPr>
          <w:rFonts w:ascii="Times New Roman"/>
          <w:b w:val="false"/>
          <w:i w:val="false"/>
          <w:color w:val="000000"/>
          <w:sz w:val="28"/>
        </w:rPr>
        <w:t>
      мынадай мазмұндағы 71-1-тармақпен толықтырылсын:</w:t>
      </w:r>
    </w:p>
    <w:bookmarkEnd w:id="11"/>
    <w:bookmarkStart w:name="z18" w:id="12"/>
    <w:p>
      <w:pPr>
        <w:spacing w:after="0"/>
        <w:ind w:left="0"/>
        <w:jc w:val="both"/>
      </w:pPr>
      <w:r>
        <w:rPr>
          <w:rFonts w:ascii="Times New Roman"/>
          <w:b w:val="false"/>
          <w:i w:val="false"/>
          <w:color w:val="000000"/>
          <w:sz w:val="28"/>
        </w:rPr>
        <w:t>
      "71-1. Толық көлемде қаржыландырылмаған инвестициялық жобалар бойынша бюджеттік кредитті одан әрі бөлу Сенім білдірілген өкілдің (агенттің) бұрын жобаның жалпы құнына берген қорытындысы бойынша жүзеге асырылатын болады.";</w:t>
      </w:r>
    </w:p>
    <w:bookmarkEnd w:id="12"/>
    <w:bookmarkStart w:name="z19"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2"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23" w:id="1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7"/>
    <w:bookmarkStart w:name="z24" w:id="1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8"/>
    <w:bookmarkStart w:name="z25"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9"/>
    <w:bookmarkStart w:name="z26"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2018 жылғы "___"____________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2018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5 қыркүйектегі</w:t>
            </w:r>
            <w:r>
              <w:br/>
            </w:r>
            <w:r>
              <w:rPr>
                <w:rFonts w:ascii="Times New Roman"/>
                <w:b w:val="false"/>
                <w:i w:val="false"/>
                <w:color w:val="000000"/>
                <w:sz w:val="20"/>
              </w:rPr>
              <w:t>№ 628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сумен жабдықтау</w:t>
            </w:r>
            <w:r>
              <w:br/>
            </w:r>
            <w:r>
              <w:rPr>
                <w:rFonts w:ascii="Times New Roman"/>
                <w:b w:val="false"/>
                <w:i w:val="false"/>
                <w:color w:val="000000"/>
                <w:sz w:val="20"/>
              </w:rPr>
              <w:t>және су бұру 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Қаржылық есептілікті, Әлеуетті түпкілікті қарыз алушының қаржылық жағдайын балдық бағалауды және өзге қолайлы ақпаратты талдау</w:t>
      </w:r>
    </w:p>
    <w:bookmarkEnd w:id="21"/>
    <w:bookmarkStart w:name="z30" w:id="22"/>
    <w:p>
      <w:pPr>
        <w:spacing w:after="0"/>
        <w:ind w:left="0"/>
        <w:jc w:val="both"/>
      </w:pPr>
      <w:r>
        <w:rPr>
          <w:rFonts w:ascii="Times New Roman"/>
          <w:b w:val="false"/>
          <w:i w:val="false"/>
          <w:color w:val="000000"/>
          <w:sz w:val="28"/>
        </w:rPr>
        <w:t>
      1. Қаржылық есептілікті деңгейлес және сатылай талдаудың мақсаты бухгалтерлік баланстың негізгі баптарында, кірістер мен шығыстар есебінде, ақша қаражаттың қозғалысы туралы есепте болған өзгерістерді ұсынуға негізделген.</w:t>
      </w:r>
    </w:p>
    <w:bookmarkEnd w:id="22"/>
    <w:p>
      <w:pPr>
        <w:spacing w:after="0"/>
        <w:ind w:left="0"/>
        <w:jc w:val="both"/>
      </w:pPr>
      <w:r>
        <w:rPr>
          <w:rFonts w:ascii="Times New Roman"/>
          <w:b w:val="false"/>
          <w:i w:val="false"/>
          <w:color w:val="000000"/>
          <w:sz w:val="28"/>
        </w:rPr>
        <w:t xml:space="preserve">
      Деңгейлес (уақытша) талдау соңғы үш есептік кезеңде Компанияның деректерін салыстырма және абсолютті түрде салыстыруға және есептіліктің жекелеген баптарының өзгеру үрдістерін немесе олардың топтарын анықтауға негізделген.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(бұдан әрі – Қаржы министрлігінің бұйрығы) бекітілген (Нормативтiк құқықтық актiлердi мемлекеттiк тiркеу тізілімiнде № 15384 болып тіркелген), қаржылық есептіліктің мынадай нысандары: "Бухгалтерлік баланс", "Пайдалар мен зияндар туралы есеп" және "Ақша қаражатының қозғалысы туралы есеп" бойынша жүргізіледі.</w:t>
      </w:r>
    </w:p>
    <w:p>
      <w:pPr>
        <w:spacing w:after="0"/>
        <w:ind w:left="0"/>
        <w:jc w:val="both"/>
      </w:pPr>
      <w:r>
        <w:rPr>
          <w:rFonts w:ascii="Times New Roman"/>
          <w:b w:val="false"/>
          <w:i w:val="false"/>
          <w:color w:val="000000"/>
          <w:sz w:val="28"/>
        </w:rPr>
        <w:t>
      Сатылай (құрылымдық) талдау жалпы жиынтық көрсеткіште есептіліктің жекелеген баптарының үлестік салмағы анықтауға және алынған деректерді өткен кезеңдегі деректермен салыстыруға негізделген. Сатылай талдау Қаржы министрінің бұйрығымен бекітілген қаржылық есептіліктің мынадай нысандары бойынша: "Бухгалтерлік баланс" және "Пайдалар мен зияндар туралы есеп".</w:t>
      </w:r>
    </w:p>
    <w:bookmarkStart w:name="z31" w:id="23"/>
    <w:p>
      <w:pPr>
        <w:spacing w:after="0"/>
        <w:ind w:left="0"/>
        <w:jc w:val="both"/>
      </w:pPr>
      <w:r>
        <w:rPr>
          <w:rFonts w:ascii="Times New Roman"/>
          <w:b w:val="false"/>
          <w:i w:val="false"/>
          <w:color w:val="000000"/>
          <w:sz w:val="28"/>
        </w:rPr>
        <w:t xml:space="preserve">
      2. Коэффициенттік талдау Компанияның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зерделеуге және олардың серпінінің өзгеруіне негізделген. </w:t>
      </w:r>
    </w:p>
    <w:bookmarkEnd w:id="23"/>
    <w:p>
      <w:pPr>
        <w:spacing w:after="0"/>
        <w:ind w:left="0"/>
        <w:jc w:val="both"/>
      </w:pPr>
      <w:r>
        <w:rPr>
          <w:rFonts w:ascii="Times New Roman"/>
          <w:b w:val="false"/>
          <w:i w:val="false"/>
          <w:color w:val="000000"/>
          <w:sz w:val="28"/>
        </w:rPr>
        <w:t>
      Коэффициенттік талдау жүргізу үшін Компанияның қаржылық есептілігінің барлық нысандарынан деректер алынады.</w:t>
      </w:r>
    </w:p>
    <w:bookmarkStart w:name="z32" w:id="24"/>
    <w:p>
      <w:pPr>
        <w:spacing w:after="0"/>
        <w:ind w:left="0"/>
        <w:jc w:val="both"/>
      </w:pPr>
      <w:r>
        <w:rPr>
          <w:rFonts w:ascii="Times New Roman"/>
          <w:b w:val="false"/>
          <w:i w:val="false"/>
          <w:color w:val="000000"/>
          <w:sz w:val="28"/>
        </w:rPr>
        <w:t>
      3. Өтімділік коэффициенттері – Компанияның қолда бар ағымдағы (айналымдағы) активтердің есебінен ағымдағы берешектерін өтеу қабілеттігін айқындау үшін есептелетін қаржылық көрсеткіштер. Бұл ретте Компанияның ағымдағы берешектерінің және осы берешектерді өтеуді қамтамасыз етуі тиіс оның айналымдағы қаражатының мөлшерін салыстыру жүргізіледі.</w:t>
      </w:r>
    </w:p>
    <w:bookmarkEnd w:id="24"/>
    <w:p>
      <w:pPr>
        <w:spacing w:after="0"/>
        <w:ind w:left="0"/>
        <w:jc w:val="both"/>
      </w:pPr>
      <w:r>
        <w:rPr>
          <w:rFonts w:ascii="Times New Roman"/>
          <w:b w:val="false"/>
          <w:i w:val="false"/>
          <w:color w:val="000000"/>
          <w:sz w:val="28"/>
        </w:rPr>
        <w:t>
      Ағымдағы өтімділік коэффициенті (Сurrent ratio, CR) Компанияның қолда бар айналымдағы қаражаты есебінен қысқа мерзімді міндеттемелерін ағымдағы орындау қабілеттігін сипаттайды. Мынандай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 – ағымдағы активтер;</w:t>
      </w:r>
    </w:p>
    <w:p>
      <w:pPr>
        <w:spacing w:after="0"/>
        <w:ind w:left="0"/>
        <w:jc w:val="both"/>
      </w:pPr>
      <w:r>
        <w:rPr>
          <w:rFonts w:ascii="Times New Roman"/>
          <w:b w:val="false"/>
          <w:i w:val="false"/>
          <w:color w:val="000000"/>
          <w:sz w:val="28"/>
        </w:rPr>
        <w:t>
      CL – ағымдағы міндеттемелер.</w:t>
      </w:r>
    </w:p>
    <w:p>
      <w:pPr>
        <w:spacing w:after="0"/>
        <w:ind w:left="0"/>
        <w:jc w:val="both"/>
      </w:pPr>
      <w:r>
        <w:rPr>
          <w:rFonts w:ascii="Times New Roman"/>
          <w:b w:val="false"/>
          <w:i w:val="false"/>
          <w:color w:val="000000"/>
          <w:sz w:val="28"/>
        </w:rPr>
        <w:t>
      CR мәні: Жоғары&gt; 0,25. Мәні&lt; 0,25 болса,төлем қабілеттілігін жоғалтуы мүмкін екендігін куәландырады.</w:t>
      </w:r>
    </w:p>
    <w:bookmarkStart w:name="z33" w:id="25"/>
    <w:p>
      <w:pPr>
        <w:spacing w:after="0"/>
        <w:ind w:left="0"/>
        <w:jc w:val="both"/>
      </w:pPr>
      <w:r>
        <w:rPr>
          <w:rFonts w:ascii="Times New Roman"/>
          <w:b w:val="false"/>
          <w:i w:val="false"/>
          <w:color w:val="000000"/>
          <w:sz w:val="28"/>
        </w:rPr>
        <w:t>
      4. Қаржылық тәуелсіздік қабілеті (Equity to total assets, EtTA) авансталған қаражаттың жалпы сомасындағы меншікті капиталдың үлесін сипаттайды. Коэффициенттің мәні артық болған сайын қаржылық жағынан неғұрлым тұрақты және сыртқы кредиторлардан тәуелсіз кәсіпорын. Мынандай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EC – меншікті капитал;</w:t>
      </w:r>
    </w:p>
    <w:p>
      <w:pPr>
        <w:spacing w:after="0"/>
        <w:ind w:left="0"/>
        <w:jc w:val="both"/>
      </w:pPr>
      <w:r>
        <w:rPr>
          <w:rFonts w:ascii="Times New Roman"/>
          <w:b w:val="false"/>
          <w:i w:val="false"/>
          <w:color w:val="000000"/>
          <w:sz w:val="28"/>
        </w:rPr>
        <w:t>
      TA – активтер сомасы.</w:t>
      </w:r>
    </w:p>
    <w:p>
      <w:pPr>
        <w:spacing w:after="0"/>
        <w:ind w:left="0"/>
        <w:jc w:val="both"/>
      </w:pPr>
      <w:r>
        <w:rPr>
          <w:rFonts w:ascii="Times New Roman"/>
          <w:b w:val="false"/>
          <w:i w:val="false"/>
          <w:color w:val="000000"/>
          <w:sz w:val="28"/>
        </w:rPr>
        <w:t>
      Осы көрсеткіштің мәні 0,5 кем емес.</w:t>
      </w:r>
    </w:p>
    <w:bookmarkStart w:name="z34" w:id="26"/>
    <w:p>
      <w:pPr>
        <w:spacing w:after="0"/>
        <w:ind w:left="0"/>
        <w:jc w:val="both"/>
      </w:pPr>
      <w:r>
        <w:rPr>
          <w:rFonts w:ascii="Times New Roman"/>
          <w:b w:val="false"/>
          <w:i w:val="false"/>
          <w:color w:val="000000"/>
          <w:sz w:val="28"/>
        </w:rPr>
        <w:t>
      5. Дебиторлық берешектің қайтарымдылық коэффициенті (Receivablescollectionperiod) – қарызды жинау үшін талап етілген күннің ішінде орташа есеппен дебиторлық берешектің неше рет айналғандығын көрсетеді.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RCP – дебиторлық берешекті жинау кезеңі;</w:t>
      </w:r>
    </w:p>
    <w:p>
      <w:pPr>
        <w:spacing w:after="0"/>
        <w:ind w:left="0"/>
        <w:jc w:val="both"/>
      </w:pPr>
      <w:r>
        <w:rPr>
          <w:rFonts w:ascii="Times New Roman"/>
          <w:b w:val="false"/>
          <w:i w:val="false"/>
          <w:color w:val="000000"/>
          <w:sz w:val="28"/>
        </w:rPr>
        <w:t>
      Осы көрсеткіштің мәні 60 күннен аспауға тиіс.</w:t>
      </w:r>
    </w:p>
    <w:bookmarkStart w:name="z35" w:id="27"/>
    <w:p>
      <w:pPr>
        <w:spacing w:after="0"/>
        <w:ind w:left="0"/>
        <w:jc w:val="both"/>
      </w:pPr>
      <w:r>
        <w:rPr>
          <w:rFonts w:ascii="Times New Roman"/>
          <w:b w:val="false"/>
          <w:i w:val="false"/>
          <w:color w:val="000000"/>
          <w:sz w:val="28"/>
        </w:rPr>
        <w:t>
      6. Кредиторлық берешектің қайтарымдылық коэффициенті (Payablescollectionperiod) – компания өзінің қарызын төлейтін күннің ішінде орташа есеппен кредиторлық берешектің неше рет айналғандығын көрсетеді.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PCP – кредиторлық берешекті жинау кезеңі;</w:t>
      </w:r>
    </w:p>
    <w:p>
      <w:pPr>
        <w:spacing w:after="0"/>
        <w:ind w:left="0"/>
        <w:jc w:val="both"/>
      </w:pPr>
      <w:r>
        <w:rPr>
          <w:rFonts w:ascii="Times New Roman"/>
          <w:b w:val="false"/>
          <w:i w:val="false"/>
          <w:color w:val="000000"/>
          <w:sz w:val="28"/>
        </w:rPr>
        <w:t>
      Осы көрсеткіштің мәні 180 күннен аспауға тиіс.</w:t>
      </w:r>
    </w:p>
    <w:bookmarkStart w:name="z36" w:id="28"/>
    <w:p>
      <w:pPr>
        <w:spacing w:after="0"/>
        <w:ind w:left="0"/>
        <w:jc w:val="both"/>
      </w:pPr>
      <w:r>
        <w:rPr>
          <w:rFonts w:ascii="Times New Roman"/>
          <w:b w:val="false"/>
          <w:i w:val="false"/>
          <w:color w:val="000000"/>
          <w:sz w:val="28"/>
        </w:rPr>
        <w:t>
      7. Әлеуетті түпкілікті қарыз алушының қаржылық жағдайын балдық бағалау: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пайданың нормасы = жалпы пайда (шығын)/өткізгеннен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пайданың нормасы = таза пайда(шығын)/өткізгеннен түскен түсім*100%.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жиналуы кәсіпорын қызметіне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негіздеме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және экономикалық тиімділігі көрсетілген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пәтерлік және жеке тұрғын үйлердің, әкімшілік ғимараттардың, тұтынушылардың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 экономикалық тиімділік.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мәндегі экономикалық тиімділік (м3, Гкал, кВт/сағ).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болмауы туралы банктен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бойынша кредиттік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өтуінің және берешектің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Әлеуетті түпкілікті қарыз алушының қаржылық жағдайын бағалау бойынша жүргізілген жұмыс қорытындылары бойынша балдық бағалау қаралатын болады, оның негізінде бюджеттік кредитті беру (бас тарту) мүмкіндігі туралы қорытынды беріледі. </w:t>
      </w:r>
    </w:p>
    <w:p>
      <w:pPr>
        <w:spacing w:after="0"/>
        <w:ind w:left="0"/>
        <w:jc w:val="both"/>
      </w:pPr>
      <w:r>
        <w:rPr>
          <w:rFonts w:ascii="Times New Roman"/>
          <w:b w:val="false"/>
          <w:i w:val="false"/>
          <w:color w:val="000000"/>
          <w:sz w:val="28"/>
        </w:rPr>
        <w:t xml:space="preserve">
      Өту баллы – кемінде 70.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