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28b3" w14:textId="fc12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органдарының үйлестіру кеңесі туралы ережені бекіту туралы" Республикалық бюджеттің атқарылуын бақылау жөніндегі есеп комитетінің 2015 жылғы 28 қарашадағы № 12-НҚ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23 тамыздағы № 17-НҚ нормативтік қаулысы. Қазақстан Республикасының Әділет министрлігінде 2018 жылғы 17 қыркүйекте № 17378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 және қаржылық бақылау органдарының үйлестіру кеңесі туралы ережені бекіту туралы" Республикалық бюджеттің атқарылуын бақылау жөніндегі есеп комитетінің 2015 жылғы 28 қарашадағы № 12-НҚ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тізілімінде № 12493 болып тіркелген, "Әділет" ақпараттық-құқықтық жүйесінде 2016 жылғы 6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органдарының үйлестіру кеңесі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Кеңес Республикалық бюджеттің атқарылуын бақылау жөніндегі есеп комитетінің (бұдан әрі – Есеп комитеті) Төрағасынан және үш мүшесінен, ішкі мемлекеттік аудит жөніндегі уәкілетті органның екі өкілінен, облыстардың, республикалық маңызы бар қалалардың, астананың тексеру комиссияларының (бұдан әрі – тексеру комиссиялары) төрағаларынан, бюджетті атқару жөніндегі орталық уәкілетті органның ішкі аудит қызметінің басшысын қоспағанда, ішкі аудит қызметінің екі басшысынан тұрады.";</w:t>
      </w:r>
    </w:p>
    <w:bookmarkEnd w:id="3"/>
    <w:bookmarkStart w:name="z6" w:id="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"Ішкі аудит қызметінен енген Кеңес мүшелерін ротациялау екі жыл сайын жүргізіледі.".</w:t>
      </w:r>
    </w:p>
    <w:bookmarkEnd w:id="5"/>
    <w:bookmarkStart w:name="z8" w:id="6"/>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8"/>
    <w:bookmarkStart w:name="z11" w:id="9"/>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10"/>
    <w:bookmarkStart w:name="z13" w:id="11"/>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