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7aa9" w14:textId="40b7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"Импортталатын тауарлар бойынша қосылған құн салығын және акциздерді төлеу мерзімін өзгерту мақсатында тәуекелдерді басқару жүйесін бекіту туралы" Қазақстан Республикасы Қаржы министрінің 2015 жылғы 25 ақпандағы № 123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25 тамыздағы № 777 бұйрығы. Қазақстан Республикасының Әділет министрлігінде 2018 жылғы 10 қыркүйекте № 17357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"Импортталатын тауарлар бойынша қосылған құн салығын және акциздерді төлеу мерзімін өзгерту мақсатында тәуекелдерді басқару жүйесін бекіту туралы" Қазақстан Республикасы Қаржы министрінің 2015 жылғы 25 ақпандағы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10443 болып тіркелген, "Әділет" ақпараттық-құқықтық жүйесінде 2015 жылғы 27 наурызда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