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0129" w14:textId="d690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кеңістігін пайдалану жобасын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17 мамырдағы № 341 бұйрығы. Қазақстан Республикасының Әділет министрлігінде 2018 жылғы 4 маусымда № 16984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257-бабының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 кеңістігін пайдалану жобасын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______________Қ. Бозымбаев</w:t>
      </w:r>
    </w:p>
    <w:p>
      <w:pPr>
        <w:spacing w:after="0"/>
        <w:ind w:left="0"/>
        <w:jc w:val="both"/>
      </w:pPr>
      <w:r>
        <w:rPr>
          <w:rFonts w:ascii="Times New Roman"/>
          <w:b w:val="false"/>
          <w:i w:val="false"/>
          <w:color w:val="000000"/>
          <w:sz w:val="28"/>
        </w:rPr>
        <w:t>
      2018 жылғы 21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17 мамырдағы № 341</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Жер қойнауы кеңістігін пайдалану жобасын жасау жөніндегі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 кеңістігін пайдалану жобасын жасау жөніндегі нұсқаулық "Жер қойнауы және жер қойнауын пайдалану туралы" 2017 жылғы 27 желтоқсандағы Қазақстан Республикасы Кодексінің (бұдан әрі – Кодекс) 257-бабының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p>
    <w:bookmarkEnd w:id="11"/>
    <w:bookmarkStart w:name="z14" w:id="12"/>
    <w:p>
      <w:pPr>
        <w:spacing w:after="0"/>
        <w:ind w:left="0"/>
        <w:jc w:val="both"/>
      </w:pPr>
      <w:r>
        <w:rPr>
          <w:rFonts w:ascii="Times New Roman"/>
          <w:b w:val="false"/>
          <w:i w:val="false"/>
          <w:color w:val="000000"/>
          <w:sz w:val="28"/>
        </w:rPr>
        <w:t>
      2. Геотехникалық, геологиялық, экономикалық және экологиялық факторларын ескере отырып, өндірістік, ғылыми немесе өзге де қызмет объектілерін орналастыруға арналған орта ретінде пайдаланылуы мүмкін жер қойнауының үш өлшемді кеңістіктегі қасиеті жер қойнауы кеңістігі болып табылады.</w:t>
      </w:r>
    </w:p>
    <w:bookmarkEnd w:id="12"/>
    <w:bookmarkStart w:name="z15" w:id="13"/>
    <w:p>
      <w:pPr>
        <w:spacing w:after="0"/>
        <w:ind w:left="0"/>
        <w:jc w:val="both"/>
      </w:pPr>
      <w:r>
        <w:rPr>
          <w:rFonts w:ascii="Times New Roman"/>
          <w:b w:val="false"/>
          <w:i w:val="false"/>
          <w:color w:val="000000"/>
          <w:sz w:val="28"/>
        </w:rPr>
        <w:t>
      3. Жер қойнауы кеңістігін пайдалану жобасы (бұдан әрі – Жоба) кең таралған пайдалы қазбалар болып табылмайтын пайдалы қазбалардың кен орны жоқ немесе пайдалы қазбалардың аз мөлшердегі ресурстары бар жер қойнауының учаскесі шегінде әзірленеді.</w:t>
      </w:r>
    </w:p>
    <w:bookmarkEnd w:id="13"/>
    <w:bookmarkStart w:name="z16" w:id="14"/>
    <w:p>
      <w:pPr>
        <w:spacing w:after="0"/>
        <w:ind w:left="0"/>
        <w:jc w:val="both"/>
      </w:pPr>
      <w:r>
        <w:rPr>
          <w:rFonts w:ascii="Times New Roman"/>
          <w:b w:val="false"/>
          <w:i w:val="false"/>
          <w:color w:val="000000"/>
          <w:sz w:val="28"/>
        </w:rPr>
        <w:t>
      4. Учаске тіктөртбұрыш түрінде болуға тиіс. Егер табиғи ерекшеліктер немесе өзге жер қойнауы учаскесінің шекаралары учаскенің жер қойнауы кеңістігін пайдаланудың аумағын тіктөртбұрыш формасында анықтауға мүмкіндік бермейтін болса, мұндай жер қойнауы учаскесінің аумағы төртбұрыш формасында болуы мүмкін, оның қарама-қарсы екі жағы бір-біріне параллель болуға тиіс.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53-баптарымен</w:t>
      </w:r>
      <w:r>
        <w:rPr>
          <w:rFonts w:ascii="Times New Roman"/>
          <w:b w:val="false"/>
          <w:i w:val="false"/>
          <w:color w:val="000000"/>
          <w:sz w:val="28"/>
        </w:rPr>
        <w:t xml:space="preserve"> белгіленген тәртіпте Жоба, сондай-ақ оның өзгерістері мемлекеттік экологиялық және санитариялық-эпидемиологиялық сараптамаға, сондай-ақ өнеркәсіптік қауіпсіздік саласындағы уәкілетті органмен келісуге жатады. </w:t>
      </w:r>
    </w:p>
    <w:bookmarkStart w:name="z18" w:id="15"/>
    <w:p>
      <w:pPr>
        <w:spacing w:after="0"/>
        <w:ind w:left="0"/>
        <w:jc w:val="left"/>
      </w:pPr>
      <w:r>
        <w:rPr>
          <w:rFonts w:ascii="Times New Roman"/>
          <w:b/>
          <w:i w:val="false"/>
          <w:color w:val="000000"/>
        </w:rPr>
        <w:t xml:space="preserve"> 2-тарау. Жобаның мазмұны</w:t>
      </w:r>
    </w:p>
    <w:bookmarkEnd w:id="15"/>
    <w:bookmarkStart w:name="z19" w:id="16"/>
    <w:p>
      <w:pPr>
        <w:spacing w:after="0"/>
        <w:ind w:left="0"/>
        <w:jc w:val="both"/>
      </w:pPr>
      <w:r>
        <w:rPr>
          <w:rFonts w:ascii="Times New Roman"/>
          <w:b w:val="false"/>
          <w:i w:val="false"/>
          <w:color w:val="000000"/>
          <w:sz w:val="28"/>
        </w:rPr>
        <w:t>
      6. Жобаның мерзімі кейінгі жиырма бес жылдан аспауы мүмкін.</w:t>
      </w:r>
    </w:p>
    <w:bookmarkEnd w:id="16"/>
    <w:bookmarkStart w:name="z20" w:id="17"/>
    <w:p>
      <w:pPr>
        <w:spacing w:after="0"/>
        <w:ind w:left="0"/>
        <w:jc w:val="both"/>
      </w:pPr>
      <w:r>
        <w:rPr>
          <w:rFonts w:ascii="Times New Roman"/>
          <w:b w:val="false"/>
          <w:i w:val="false"/>
          <w:color w:val="000000"/>
          <w:sz w:val="28"/>
        </w:rPr>
        <w:t>
      7. Жобада қамтылады:</w:t>
      </w:r>
    </w:p>
    <w:bookmarkEnd w:id="17"/>
    <w:p>
      <w:pPr>
        <w:spacing w:after="0"/>
        <w:ind w:left="0"/>
        <w:jc w:val="both"/>
      </w:pPr>
      <w:r>
        <w:rPr>
          <w:rFonts w:ascii="Times New Roman"/>
          <w:b w:val="false"/>
          <w:i w:val="false"/>
          <w:color w:val="000000"/>
          <w:sz w:val="28"/>
        </w:rPr>
        <w:t xml:space="preserve">
      1) зиянды, улы заттарды, қатты және сұйық қалдықтарды көму объектілерінің, сарқынды және өнеркәсіптік суларды ағызатын орынның, оның ішінде объектінің орналасқан жерінің, пайдалану кезеңінің, күтіп-ұстауға арналған шығындардың, жерасты сулары, қоршаған орта мен жер қойнауы мониторингісінің қадағалау желісінің болуы мен орналасуының жалпы сипаттамасы; </w:t>
      </w:r>
    </w:p>
    <w:p>
      <w:pPr>
        <w:spacing w:after="0"/>
        <w:ind w:left="0"/>
        <w:jc w:val="both"/>
      </w:pPr>
      <w:r>
        <w:rPr>
          <w:rFonts w:ascii="Times New Roman"/>
          <w:b w:val="false"/>
          <w:i w:val="false"/>
          <w:color w:val="000000"/>
          <w:sz w:val="28"/>
        </w:rPr>
        <w:t>
      2) жерасты құрылысжай объектісінің сипаттамасын, оның оқшаулау сипаттамасы,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 жерасты суларының табиғи ағысының жылдамдығын, көмудің, жиып қою мен ағызудың сапалық және сандық көрсеткіштері, тау-кен техникалық, арнаулы инженерлік-геологиялық, гидрогеологиялық және экологиялық шарттары;</w:t>
      </w:r>
    </w:p>
    <w:p>
      <w:pPr>
        <w:spacing w:after="0"/>
        <w:ind w:left="0"/>
        <w:jc w:val="both"/>
      </w:pPr>
      <w:r>
        <w:rPr>
          <w:rFonts w:ascii="Times New Roman"/>
          <w:b w:val="false"/>
          <w:i w:val="false"/>
          <w:color w:val="000000"/>
          <w:sz w:val="28"/>
        </w:rPr>
        <w:t>
      3) қызметі зиянды, улы заттардың, қатты және сұйық қалдықтардың, сарқынды және өнеркәсіптік сулардың түзілуіне әкелетін ұйымдар туралы мәліметтер;</w:t>
      </w:r>
    </w:p>
    <w:p>
      <w:pPr>
        <w:spacing w:after="0"/>
        <w:ind w:left="0"/>
        <w:jc w:val="both"/>
      </w:pPr>
      <w:r>
        <w:rPr>
          <w:rFonts w:ascii="Times New Roman"/>
          <w:b w:val="false"/>
          <w:i w:val="false"/>
          <w:color w:val="000000"/>
          <w:sz w:val="28"/>
        </w:rPr>
        <w:t xml:space="preserve">
      4) өнімнің атауы, ол түзілетін техникалық өндіріс немесе процес, оның физикалық сипаттамасы, толық химиялық құрамы, уытты компоненттердің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 </w:t>
      </w:r>
    </w:p>
    <w:p>
      <w:pPr>
        <w:spacing w:after="0"/>
        <w:ind w:left="0"/>
        <w:jc w:val="both"/>
      </w:pPr>
      <w:r>
        <w:rPr>
          <w:rFonts w:ascii="Times New Roman"/>
          <w:b w:val="false"/>
          <w:i w:val="false"/>
          <w:color w:val="000000"/>
          <w:sz w:val="28"/>
        </w:rPr>
        <w:t xml:space="preserve">
      5) осы объекті бойынша бұрынғы мемлекеттік сараптама жүргізілген хаттамаларда бар және геологиялық барлаудың және өзге де жұмыстардың материалдарын қарайтын басқа органдардың ұсынымдарын орындау бойынша іс-шаралар; </w:t>
      </w:r>
    </w:p>
    <w:p>
      <w:pPr>
        <w:spacing w:after="0"/>
        <w:ind w:left="0"/>
        <w:jc w:val="both"/>
      </w:pPr>
      <w:r>
        <w:rPr>
          <w:rFonts w:ascii="Times New Roman"/>
          <w:b w:val="false"/>
          <w:i w:val="false"/>
          <w:color w:val="000000"/>
          <w:sz w:val="28"/>
        </w:rPr>
        <w:t>
      6) қатты, сұйық және радиоактивті қалдықтарды, зиянды улы заттарды сақтау және (немесе) көму, сарқынды, өнеркәсіптік және техникалық сулардың ағызудың (айдаудың) күнтізбелік кестесі.</w:t>
      </w:r>
    </w:p>
    <w:bookmarkStart w:name="z21" w:id="18"/>
    <w:p>
      <w:pPr>
        <w:spacing w:after="0"/>
        <w:ind w:left="0"/>
        <w:jc w:val="both"/>
      </w:pPr>
      <w:r>
        <w:rPr>
          <w:rFonts w:ascii="Times New Roman"/>
          <w:b w:val="false"/>
          <w:i w:val="false"/>
          <w:color w:val="000000"/>
          <w:sz w:val="28"/>
        </w:rPr>
        <w:t>
      8. Жоба тиісті графикалық құжаттармен сүйемелденетін тиісті техникалық шешімдерді сәйкес қамтиды.</w:t>
      </w:r>
    </w:p>
    <w:bookmarkEnd w:id="18"/>
    <w:bookmarkStart w:name="z22" w:id="19"/>
    <w:p>
      <w:pPr>
        <w:spacing w:after="0"/>
        <w:ind w:left="0"/>
        <w:jc w:val="both"/>
      </w:pPr>
      <w:r>
        <w:rPr>
          <w:rFonts w:ascii="Times New Roman"/>
          <w:b w:val="false"/>
          <w:i w:val="false"/>
          <w:color w:val="000000"/>
          <w:sz w:val="28"/>
        </w:rPr>
        <w:t>
      9. Жобада жер қойнауын және қоршаған ортаны қорғау бойынша арнайы іс–шаралардың кешені, жерасты және бетіндегі суларды мониторингілеу, өндірістік және экологиялық мониторингілеу айқындалады.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