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dadb4" w14:textId="7ddad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органдарының тәуекелдерді басқару жүйесін қолдану стратегиясы мен тактикасын, сондай-ақ оның жұмыс істеу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 ақпандағы № 100 бұйрығы. Қазақстан Республикасының Әділет министрлігінде 2018 жылғы 19 ақпанда № 16380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кедендік реттеу туралы" 2017 жылғы 26 желтоқсандағы Қазақстан Республикасының Кодексі 451-бабының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кірістер органдарының тәуекелдерді басқару жүйесін қолдану стратегиясы мен тактикасы, сондай-ақ оның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мемлекеттік кірістер органдарында тәуекелдерді басқару жүйесін қолдану қағидасын бекіту туралы" Қазақстан Республикасы Қаржы министрінің 2015 жылғы 31 наурыздағы № 244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10945 болып тіркелген, "Әділет" ақпараттық-құқықтық жүйесінде 2015 жылғы 19 мамырда жарияланған) күші жойылды деп танылсын. </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4. Осы бұйрық алғаш рет ресми жарияланған күнінен кейін он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 ақпандағы</w:t>
            </w:r>
            <w:r>
              <w:br/>
            </w:r>
            <w:r>
              <w:rPr>
                <w:rFonts w:ascii="Times New Roman"/>
                <w:b w:val="false"/>
                <w:i w:val="false"/>
                <w:color w:val="000000"/>
                <w:sz w:val="20"/>
              </w:rPr>
              <w:t>№ 100 бұйрығымен бекітілген</w:t>
            </w:r>
          </w:p>
        </w:tc>
      </w:tr>
    </w:tbl>
    <w:bookmarkStart w:name="z11" w:id="9"/>
    <w:p>
      <w:pPr>
        <w:spacing w:after="0"/>
        <w:ind w:left="0"/>
        <w:jc w:val="left"/>
      </w:pPr>
      <w:r>
        <w:rPr>
          <w:rFonts w:ascii="Times New Roman"/>
          <w:b/>
          <w:i w:val="false"/>
          <w:color w:val="000000"/>
        </w:rPr>
        <w:t xml:space="preserve"> Мемлекеттік кірістер органдарының тәуекелдерді басқару жүйесін қолдану стратегиясы мен тактикасы, сондай-ақ оның жұмыс істеу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Премьер-Министрінің Бірінші орынбасары – ҚР Қаржы министрінің 04.11.2019 </w:t>
      </w:r>
      <w:r>
        <w:rPr>
          <w:rFonts w:ascii="Times New Roman"/>
          <w:b w:val="false"/>
          <w:i w:val="false"/>
          <w:color w:val="ff0000"/>
          <w:sz w:val="28"/>
        </w:rPr>
        <w:t>№ 1215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36" w:id="10"/>
    <w:p>
      <w:pPr>
        <w:spacing w:after="0"/>
        <w:ind w:left="0"/>
        <w:jc w:val="left"/>
      </w:pPr>
      <w:r>
        <w:rPr>
          <w:rFonts w:ascii="Times New Roman"/>
          <w:b/>
          <w:i w:val="false"/>
          <w:color w:val="000000"/>
        </w:rPr>
        <w:t xml:space="preserve"> 1-тарау. Жалпы ережелер</w:t>
      </w:r>
    </w:p>
    <w:bookmarkEnd w:id="10"/>
    <w:bookmarkStart w:name="z12" w:id="11"/>
    <w:p>
      <w:pPr>
        <w:spacing w:after="0"/>
        <w:ind w:left="0"/>
        <w:jc w:val="both"/>
      </w:pPr>
      <w:r>
        <w:rPr>
          <w:rFonts w:ascii="Times New Roman"/>
          <w:b w:val="false"/>
          <w:i w:val="false"/>
          <w:color w:val="000000"/>
          <w:sz w:val="28"/>
        </w:rPr>
        <w:t xml:space="preserve">
      1. Мемлекеттік кірістер органдарының тәуекелдерді басқару жүйесін қолдану стратегиясы мен тактикасы, сондай-ақ оның қызмет ету қағидалары (бұдан әрі – Стратегия) 2017 жылғы 26 желтоқсандағы "Қазақстан Республикасындағы кедендік реттеу туралы" Қазақстан Республикасы Кодексінің (бұдан әрі – Кодекс) 451-бабы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p>
    <w:bookmarkEnd w:id="11"/>
    <w:bookmarkStart w:name="z13" w:id="12"/>
    <w:p>
      <w:pPr>
        <w:spacing w:after="0"/>
        <w:ind w:left="0"/>
        <w:jc w:val="both"/>
      </w:pPr>
      <w:r>
        <w:rPr>
          <w:rFonts w:ascii="Times New Roman"/>
          <w:b w:val="false"/>
          <w:i w:val="false"/>
          <w:color w:val="000000"/>
          <w:sz w:val="28"/>
        </w:rPr>
        <w:t>
      2. Стратегияның мақсаты Қазақстан Республикасының мемлекеттік кірістер органдарында тәуекелдерді басқару жүйесін іске асырудың және одан әрі жетілдірудің, басқарудың бірыңғай тәсілдерін белгілеу болып табылады.</w:t>
      </w:r>
    </w:p>
    <w:bookmarkEnd w:id="12"/>
    <w:bookmarkStart w:name="z14" w:id="13"/>
    <w:p>
      <w:pPr>
        <w:spacing w:after="0"/>
        <w:ind w:left="0"/>
        <w:jc w:val="both"/>
      </w:pPr>
      <w:r>
        <w:rPr>
          <w:rFonts w:ascii="Times New Roman"/>
          <w:b w:val="false"/>
          <w:i w:val="false"/>
          <w:color w:val="000000"/>
          <w:sz w:val="28"/>
        </w:rPr>
        <w:t>
      3. Стратегия санитариялық-эпидемиологиялық, ветеринариялық, карантиндік, фитосанитариялық, радиациялық бақылау (қадағалау) саласындағы тәуекелдерді қоспағанда, тәуекелдерді басқару жүйесінің (бұдан әрі – ТБЖ) жұмыс істеу тәртібін айқындайды.</w:t>
      </w:r>
    </w:p>
    <w:bookmarkEnd w:id="13"/>
    <w:bookmarkStart w:name="z15" w:id="14"/>
    <w:p>
      <w:pPr>
        <w:spacing w:after="0"/>
        <w:ind w:left="0"/>
        <w:jc w:val="both"/>
      </w:pPr>
      <w:r>
        <w:rPr>
          <w:rFonts w:ascii="Times New Roman"/>
          <w:b w:val="false"/>
          <w:i w:val="false"/>
          <w:color w:val="000000"/>
          <w:sz w:val="28"/>
        </w:rPr>
        <w:t>
      4. Осы Стратегияның мақсаттары үшін мынадай ұғым пайдаланылады:</w:t>
      </w:r>
    </w:p>
    <w:bookmarkEnd w:id="14"/>
    <w:bookmarkStart w:name="z16" w:id="15"/>
    <w:p>
      <w:pPr>
        <w:spacing w:after="0"/>
        <w:ind w:left="0"/>
        <w:jc w:val="both"/>
      </w:pPr>
      <w:r>
        <w:rPr>
          <w:rFonts w:ascii="Times New Roman"/>
          <w:b w:val="false"/>
          <w:i w:val="false"/>
          <w:color w:val="000000"/>
          <w:sz w:val="28"/>
        </w:rPr>
        <w:t>
      1) тәуекел бейінін өзектендіру — тәуекел бейінінде қамтылған мәліметтерге өзгерістер енгізу не тәуекел бейінін жою.</w:t>
      </w:r>
    </w:p>
    <w:bookmarkEnd w:id="15"/>
    <w:bookmarkStart w:name="z17" w:id="16"/>
    <w:p>
      <w:pPr>
        <w:spacing w:after="0"/>
        <w:ind w:left="0"/>
        <w:jc w:val="left"/>
      </w:pPr>
      <w:r>
        <w:rPr>
          <w:rFonts w:ascii="Times New Roman"/>
          <w:b/>
          <w:i w:val="false"/>
          <w:color w:val="000000"/>
        </w:rPr>
        <w:t xml:space="preserve"> 2-тарау. Тәуекелдерді басқару жүйесін қолданудың стратегиясы</w:t>
      </w:r>
    </w:p>
    <w:bookmarkEnd w:id="16"/>
    <w:bookmarkStart w:name="z18" w:id="17"/>
    <w:p>
      <w:pPr>
        <w:spacing w:after="0"/>
        <w:ind w:left="0"/>
        <w:jc w:val="both"/>
      </w:pPr>
      <w:r>
        <w:rPr>
          <w:rFonts w:ascii="Times New Roman"/>
          <w:b w:val="false"/>
          <w:i w:val="false"/>
          <w:color w:val="000000"/>
          <w:sz w:val="28"/>
        </w:rPr>
        <w:t>
      5. Мемлекеттік кірістер органдарында ТБЖ қолданудың стратегиясы мынадай негізгі мақсаттарға қол жеткізуге бағытталған:</w:t>
      </w:r>
    </w:p>
    <w:bookmarkEnd w:id="17"/>
    <w:bookmarkStart w:name="z19" w:id="18"/>
    <w:p>
      <w:pPr>
        <w:spacing w:after="0"/>
        <w:ind w:left="0"/>
        <w:jc w:val="both"/>
      </w:pPr>
      <w:r>
        <w:rPr>
          <w:rFonts w:ascii="Times New Roman"/>
          <w:b w:val="false"/>
          <w:i w:val="false"/>
          <w:color w:val="000000"/>
          <w:sz w:val="28"/>
        </w:rPr>
        <w:t>
      1) кедендік бақылаудың тиімділігін қамтамасыз ету;</w:t>
      </w:r>
    </w:p>
    <w:bookmarkEnd w:id="18"/>
    <w:bookmarkStart w:name="z20" w:id="19"/>
    <w:p>
      <w:pPr>
        <w:spacing w:after="0"/>
        <w:ind w:left="0"/>
        <w:jc w:val="both"/>
      </w:pPr>
      <w:r>
        <w:rPr>
          <w:rFonts w:ascii="Times New Roman"/>
          <w:b w:val="false"/>
          <w:i w:val="false"/>
          <w:color w:val="000000"/>
          <w:sz w:val="28"/>
        </w:rPr>
        <w:t>
      2) деңгейі жоғары тәуекел салаларына назарды шоғырландыру және мемлекеттік кірістер органдарының ресурстарын тиімді пайдалануды қамтамасыз ету;</w:t>
      </w:r>
    </w:p>
    <w:bookmarkEnd w:id="19"/>
    <w:bookmarkStart w:name="z21" w:id="20"/>
    <w:p>
      <w:pPr>
        <w:spacing w:after="0"/>
        <w:ind w:left="0"/>
        <w:jc w:val="both"/>
      </w:pPr>
      <w:r>
        <w:rPr>
          <w:rFonts w:ascii="Times New Roman"/>
          <w:b w:val="false"/>
          <w:i w:val="false"/>
          <w:color w:val="000000"/>
          <w:sz w:val="28"/>
        </w:rPr>
        <w:t>
      3) тәуекелдерді барынша азайту жөніндегі шараларды қолдану қажеттілігі анықталмаған тауарларды Еуразиялық экономикалық одақтың кедендік шекарасы арқылы өткізуді жеделдету және оңайлату үшін жағдай жасау.</w:t>
      </w:r>
    </w:p>
    <w:bookmarkEnd w:id="20"/>
    <w:bookmarkStart w:name="z22" w:id="21"/>
    <w:p>
      <w:pPr>
        <w:spacing w:after="0"/>
        <w:ind w:left="0"/>
        <w:jc w:val="both"/>
      </w:pPr>
      <w:r>
        <w:rPr>
          <w:rFonts w:ascii="Times New Roman"/>
          <w:b w:val="false"/>
          <w:i w:val="false"/>
          <w:color w:val="000000"/>
          <w:sz w:val="28"/>
        </w:rPr>
        <w:t>
      6. ТБЖ қолданудың стратегиясы мынадай негізгі қағидаттарды ескере отырып жүзеге асырылады:</w:t>
      </w:r>
    </w:p>
    <w:bookmarkEnd w:id="21"/>
    <w:bookmarkStart w:name="z23" w:id="22"/>
    <w:p>
      <w:pPr>
        <w:spacing w:after="0"/>
        <w:ind w:left="0"/>
        <w:jc w:val="both"/>
      </w:pPr>
      <w:r>
        <w:rPr>
          <w:rFonts w:ascii="Times New Roman"/>
          <w:b w:val="false"/>
          <w:i w:val="false"/>
          <w:color w:val="000000"/>
          <w:sz w:val="28"/>
        </w:rPr>
        <w:t>
      1) кеден заңнамасының талаптарын сақтауды қамтамасыз ету;</w:t>
      </w:r>
    </w:p>
    <w:bookmarkEnd w:id="22"/>
    <w:bookmarkStart w:name="z24" w:id="23"/>
    <w:p>
      <w:pPr>
        <w:spacing w:after="0"/>
        <w:ind w:left="0"/>
        <w:jc w:val="both"/>
      </w:pPr>
      <w:r>
        <w:rPr>
          <w:rFonts w:ascii="Times New Roman"/>
          <w:b w:val="false"/>
          <w:i w:val="false"/>
          <w:color w:val="000000"/>
          <w:sz w:val="28"/>
        </w:rPr>
        <w:t>
      2) тауарларды Еуразиялық экономикалық одақтың кедендік шекарасы арқылы өткізетін тұлғалардың, сондай-ақ кеден ісі саласындағы қызметті жүзеге асыратын тұлғалардың құқықтарын, бостандықтары мен заңды мүдделерін қамтамасыз ету;</w:t>
      </w:r>
    </w:p>
    <w:bookmarkEnd w:id="23"/>
    <w:bookmarkStart w:name="z25" w:id="24"/>
    <w:p>
      <w:pPr>
        <w:spacing w:after="0"/>
        <w:ind w:left="0"/>
        <w:jc w:val="both"/>
      </w:pPr>
      <w:r>
        <w:rPr>
          <w:rFonts w:ascii="Times New Roman"/>
          <w:b w:val="false"/>
          <w:i w:val="false"/>
          <w:color w:val="000000"/>
          <w:sz w:val="28"/>
        </w:rPr>
        <w:t>
      3) кедендік бақылаудың барлық сатыларында ТБЖ бірыңғай қолдануды сақтау;</w:t>
      </w:r>
    </w:p>
    <w:bookmarkEnd w:id="24"/>
    <w:bookmarkStart w:name="z26" w:id="25"/>
    <w:p>
      <w:pPr>
        <w:spacing w:after="0"/>
        <w:ind w:left="0"/>
        <w:jc w:val="both"/>
      </w:pPr>
      <w:r>
        <w:rPr>
          <w:rFonts w:ascii="Times New Roman"/>
          <w:b w:val="false"/>
          <w:i w:val="false"/>
          <w:color w:val="000000"/>
          <w:sz w:val="28"/>
        </w:rPr>
        <w:t>
      4) ТБЖ құқық бұзушылықтың алдын алуға және (немесе) құқық бұзушылықты анықтау және тәуекелді барынша азайту мақсатында кедендік бақылау объектілерін таңдауға бағытталуын қамтамасыз ету;</w:t>
      </w:r>
    </w:p>
    <w:bookmarkEnd w:id="25"/>
    <w:bookmarkStart w:name="z27" w:id="26"/>
    <w:p>
      <w:pPr>
        <w:spacing w:after="0"/>
        <w:ind w:left="0"/>
        <w:jc w:val="both"/>
      </w:pPr>
      <w:r>
        <w:rPr>
          <w:rFonts w:ascii="Times New Roman"/>
          <w:b w:val="false"/>
          <w:i w:val="false"/>
          <w:color w:val="000000"/>
          <w:sz w:val="28"/>
        </w:rPr>
        <w:t>
      5) қолда бар ақпарат негізінде ТБЖ қалыптастыру;</w:t>
      </w:r>
    </w:p>
    <w:bookmarkEnd w:id="26"/>
    <w:bookmarkStart w:name="z28" w:id="27"/>
    <w:p>
      <w:pPr>
        <w:spacing w:after="0"/>
        <w:ind w:left="0"/>
        <w:jc w:val="both"/>
      </w:pPr>
      <w:r>
        <w:rPr>
          <w:rFonts w:ascii="Times New Roman"/>
          <w:b w:val="false"/>
          <w:i w:val="false"/>
          <w:color w:val="000000"/>
          <w:sz w:val="28"/>
        </w:rPr>
        <w:t>
      6) құпия болып табылмайтын ақпараттың айқындығын және ашықтығын қамтамасыз ету;</w:t>
      </w:r>
    </w:p>
    <w:bookmarkEnd w:id="27"/>
    <w:bookmarkStart w:name="z29" w:id="28"/>
    <w:p>
      <w:pPr>
        <w:spacing w:after="0"/>
        <w:ind w:left="0"/>
        <w:jc w:val="both"/>
      </w:pPr>
      <w:r>
        <w:rPr>
          <w:rFonts w:ascii="Times New Roman"/>
          <w:b w:val="false"/>
          <w:i w:val="false"/>
          <w:color w:val="000000"/>
          <w:sz w:val="28"/>
        </w:rPr>
        <w:t>
      7) ТБЖ жүйелілігін, құрылымдылығын қамтамасыз ету және тәуекел бейіндерін уақытылы өзектендіруді жүргізу;</w:t>
      </w:r>
    </w:p>
    <w:bookmarkEnd w:id="28"/>
    <w:bookmarkStart w:name="z30" w:id="29"/>
    <w:p>
      <w:pPr>
        <w:spacing w:after="0"/>
        <w:ind w:left="0"/>
        <w:jc w:val="both"/>
      </w:pPr>
      <w:r>
        <w:rPr>
          <w:rFonts w:ascii="Times New Roman"/>
          <w:b w:val="false"/>
          <w:i w:val="false"/>
          <w:color w:val="000000"/>
          <w:sz w:val="28"/>
        </w:rPr>
        <w:t xml:space="preserve">
      8) субъектке бағытталған тәсілді қолдану мақсатында Кодекстің 452-бабы </w:t>
      </w:r>
      <w:r>
        <w:rPr>
          <w:rFonts w:ascii="Times New Roman"/>
          <w:b w:val="false"/>
          <w:i w:val="false"/>
          <w:color w:val="000000"/>
          <w:sz w:val="28"/>
        </w:rPr>
        <w:t>2-тармағына</w:t>
      </w:r>
      <w:r>
        <w:rPr>
          <w:rFonts w:ascii="Times New Roman"/>
          <w:b w:val="false"/>
          <w:i w:val="false"/>
          <w:color w:val="000000"/>
          <w:sz w:val="28"/>
        </w:rPr>
        <w:t xml:space="preserve"> сәйкес тәуекелдерді барынша азайту жөніндегі шараларды саралап қолдану.</w:t>
      </w:r>
    </w:p>
    <w:bookmarkEnd w:id="29"/>
    <w:bookmarkStart w:name="z31" w:id="30"/>
    <w:p>
      <w:pPr>
        <w:spacing w:after="0"/>
        <w:ind w:left="0"/>
        <w:jc w:val="left"/>
      </w:pPr>
      <w:r>
        <w:rPr>
          <w:rFonts w:ascii="Times New Roman"/>
          <w:b/>
          <w:i w:val="false"/>
          <w:color w:val="000000"/>
        </w:rPr>
        <w:t xml:space="preserve"> 3-тарау. Мемлекеттік кірістер органдарының тәуекелдерді басқару жүйесін қолдану тактикасы, сондай-ақ оның жұмыс істеу тәртібі</w:t>
      </w:r>
    </w:p>
    <w:bookmarkEnd w:id="30"/>
    <w:bookmarkStart w:name="z32" w:id="31"/>
    <w:p>
      <w:pPr>
        <w:spacing w:after="0"/>
        <w:ind w:left="0"/>
        <w:jc w:val="both"/>
      </w:pPr>
      <w:r>
        <w:rPr>
          <w:rFonts w:ascii="Times New Roman"/>
          <w:b w:val="false"/>
          <w:i w:val="false"/>
          <w:color w:val="000000"/>
          <w:sz w:val="28"/>
        </w:rPr>
        <w:t>
      7. ТБЖ қолдану тактикасы кедендік бақылаудың барлық сатыларында тәуекелдерді басқару процесін іске асыруды қарастырады және Стратегияның 5-тармағында көзделген мақсаттарды ескере отырып, мемлекеттік кірістер органдарының тәуекелдері басқару бойынша қызметін жоспарлауға және ұйымдастыруға, сондай-ақ кедендік операциялар мен кедендік бақылау сатыларына байланысты тәуекелдерге ықпал етуді ұйымдастыру үшін мемлекеттік кірістер органдарының ресуртарын оңтайлы бөлуге негізделеді.</w:t>
      </w:r>
    </w:p>
    <w:bookmarkEnd w:id="31"/>
    <w:bookmarkStart w:name="z33" w:id="32"/>
    <w:p>
      <w:pPr>
        <w:spacing w:after="0"/>
        <w:ind w:left="0"/>
        <w:jc w:val="both"/>
      </w:pPr>
      <w:r>
        <w:rPr>
          <w:rFonts w:ascii="Times New Roman"/>
          <w:b w:val="false"/>
          <w:i w:val="false"/>
          <w:color w:val="000000"/>
          <w:sz w:val="28"/>
        </w:rPr>
        <w:t>
      8. Мемлекеттік кірістер органдары ТБЖ тауарларды, халықаралық тасымалдаудың көлік құралдарын, кедендік бақылауға жататын құжаттар мен адамдарды, сондай-ақ оларға қолданылатын тәуекелдерді барынша азайту шараларын және кедендік бақылауды жүргізу дәрежесін айқындау үшін қолданады.</w:t>
      </w:r>
    </w:p>
    <w:bookmarkEnd w:id="32"/>
    <w:bookmarkStart w:name="z34" w:id="33"/>
    <w:p>
      <w:pPr>
        <w:spacing w:after="0"/>
        <w:ind w:left="0"/>
        <w:jc w:val="both"/>
      </w:pPr>
      <w:r>
        <w:rPr>
          <w:rFonts w:ascii="Times New Roman"/>
          <w:b w:val="false"/>
          <w:i w:val="false"/>
          <w:color w:val="000000"/>
          <w:sz w:val="28"/>
        </w:rPr>
        <w:t>
      9. Кедендік бақылау кезінде ТБЖ қолдану екі бағытта: тауарлар шығарылғанға дейін және тауарлар шығарылғаннан кейін жүзеге асырылады.</w:t>
      </w:r>
    </w:p>
    <w:bookmarkEnd w:id="33"/>
    <w:bookmarkStart w:name="z35" w:id="34"/>
    <w:p>
      <w:pPr>
        <w:spacing w:after="0"/>
        <w:ind w:left="0"/>
        <w:jc w:val="both"/>
      </w:pPr>
      <w:r>
        <w:rPr>
          <w:rFonts w:ascii="Times New Roman"/>
          <w:b w:val="false"/>
          <w:i w:val="false"/>
          <w:color w:val="000000"/>
          <w:sz w:val="28"/>
        </w:rPr>
        <w:t xml:space="preserve">
      10. Кедендік бақылауды жүргізу кезінде ТБЖ жұмыс істеу тәртібі Кодекстің 452-бабы </w:t>
      </w:r>
      <w:r>
        <w:rPr>
          <w:rFonts w:ascii="Times New Roman"/>
          <w:b w:val="false"/>
          <w:i w:val="false"/>
          <w:color w:val="000000"/>
          <w:sz w:val="28"/>
        </w:rPr>
        <w:t>1-тармағында</w:t>
      </w:r>
      <w:r>
        <w:rPr>
          <w:rFonts w:ascii="Times New Roman"/>
          <w:b w:val="false"/>
          <w:i w:val="false"/>
          <w:color w:val="000000"/>
          <w:sz w:val="28"/>
        </w:rPr>
        <w:t xml:space="preserve"> көрсетілген тәуекелдерді басқару процесіне негізделеді.</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