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b34b" w14:textId="aaeb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2017 жылғы 28 тамыздағы № 12-3 шешімі. Батыс Қазақстан облысының Әділет департаментінде 2017 жылғы 27 қыркүйекте № 4903 болып тіркелді. Күші жойылды - Батыс Қазақстан облыстық мәслихатының 2018 жылғы 16 наурыздағы № 16-12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облыстық мәслихатының 16.03.2018 </w:t>
      </w:r>
      <w:r>
        <w:rPr>
          <w:rFonts w:ascii="Times New Roman"/>
          <w:b w:val="false"/>
          <w:i w:val="false"/>
          <w:color w:val="ff0000"/>
          <w:sz w:val="28"/>
        </w:rPr>
        <w:t>№  16-12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облыстық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облыстық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облыстық мәслихатының 2016 жылғы 15 қыркүйектегі №6-5 "Батыс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тізімінде №4587 болып тіркелген, 2016 жылғы 28 қазанда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А.Амирханян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2017 жылғы</w:t>
            </w:r>
            <w:r>
              <w:br/>
            </w:r>
            <w:r>
              <w:rPr>
                <w:rFonts w:ascii="Times New Roman"/>
                <w:b w:val="false"/>
                <w:i w:val="false"/>
                <w:color w:val="000000"/>
                <w:sz w:val="20"/>
              </w:rPr>
              <w:t>28 тамыздағы № 12-3</w:t>
            </w:r>
            <w:r>
              <w:br/>
            </w:r>
            <w:r>
              <w:rPr>
                <w:rFonts w:ascii="Times New Roman"/>
                <w:b w:val="false"/>
                <w:i w:val="false"/>
                <w:color w:val="000000"/>
                <w:sz w:val="20"/>
              </w:rPr>
              <w:t>шешімімен бекітілген</w:t>
            </w:r>
          </w:p>
        </w:tc>
      </w:tr>
    </w:tbl>
    <w:bookmarkStart w:name="z11" w:id="5"/>
    <w:p>
      <w:pPr>
        <w:spacing w:after="0"/>
        <w:ind w:left="0"/>
        <w:jc w:val="left"/>
      </w:pPr>
      <w:r>
        <w:rPr>
          <w:rFonts w:ascii="Times New Roman"/>
          <w:b/>
          <w:i w:val="false"/>
          <w:color w:val="000000"/>
        </w:rPr>
        <w:t xml:space="preserve"> "Батыс Қазақстан облыстық мәслихат аппараты"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"Батыс Қазақстан облыстық мәслихат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"Батыс Қазақстан облыстық мәслихат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бас маман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 екі данада құрастырылады. Бір дана бас маманға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бас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маманмен және "Б" корпусы қызметшісінің тікелей басшысымен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7"/>
    <w:bookmarkStart w:name="z84" w:id="78"/>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91"/>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міндеттерді орындау бағасы: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жөніндегі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Бағалау жөніндегі комиссия хатшысы: 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Бағалау жөніндегі комиссия төрағасы: 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Бағалау жөніндегі комиссия мүшесі: 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