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b569" w14:textId="b17b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20 қаңтардағы № 21 "Батыс Қазақстан облысының табиғи ресурстар және табиғат пайдалануды реттеу басқармасы" мемлекеттік мекемесі туралы ережені бекіту туралы" қаулысының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2017 жылғы 21 сәуірдегі № 103 қаулысы. Батыс Қазақстан облысының Әділет департаментінде 2017 жылғы 11 мамырда № 4796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Батыс Қазақстан облысы әкімдігінің 2015 жылғы 20 қаңтардағы №21 "Батыс Қазақстан облысының табиғи ресурстар және табиғат пайдалануды реттеу басқармасы" мемлекеттік мекемесі туралы ережені бекіту туралы" (Нормативтік құқықтық актілерді мемлекеттік тіркеу тізілімінде №3799 тіркелген, 2015 жылғы 14 ақпанда "Орал өңірі" және "Приуралье"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Батыс Қазақстан облысының табиғи ресурстар және табиғат пайдалануды реттеу басқармасының басшысы (А.М.Дәулетжанов)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бірінші орынбасары А.К.Өтеғұловқа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