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c566" w14:textId="927c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Сайрам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21 желтоқсандағы № 22-153/VI шешiмi. Оңтүстiк Қазақстан облысының Әдiлет департаментiнде 2018 жылғы 9 қаңтарда № 4382 болып тiркелдi. Күші жойылды - Түркістан облысы Сайрам аудандық мәслихатының 2023 жылғы 27 маусымдағы № 4-33/VIII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27.06.2023 № 4-33/VIII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Сайрам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Сайрам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22-153/VI шешімімен бекітілген</w:t>
            </w:r>
          </w:p>
        </w:tc>
      </w:tr>
    </w:tbl>
    <w:bookmarkStart w:name="z6" w:id="4"/>
    <w:p>
      <w:pPr>
        <w:spacing w:after="0"/>
        <w:ind w:left="0"/>
        <w:jc w:val="left"/>
      </w:pPr>
      <w:r>
        <w:rPr>
          <w:rFonts w:ascii="Times New Roman"/>
          <w:b/>
          <w:i w:val="false"/>
          <w:color w:val="000000"/>
        </w:rPr>
        <w:t xml:space="preserve"> Сот шешімімен Сайрам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Сайрам ауданының коммуналдық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"Сайрам аудандық тұрғын үй-коммуналдық шаруашылық бөлімі" мемлекеттік мекемесі болып (бұдан әрі-бөлім)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Сайрам ауданының коммуналдық меншігіне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