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0053" w14:textId="c640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2017 жылғы 31 наурыздағы № 53 қаулысы. Оңтүстiк Қазақстан облысының Әдiлет департаментiнде 2017 жылғы 18 сәуірде № 4046 болып тiркелдi. Күші жойылды - Оңтүстiк Қазақстан облысы Бәйдiбек ауданы әкiмдiгiнiң 2018 жылғы 23 сәуірдегі № 143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Бәйдібек ауданы әкімдігінің 23.04.2018 № 143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Бәйдібек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Бәйдібек ауданы әкімдігінің 2016 жылғы 08 сәуірдегі № 92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3740 нөмірімен тіркелген, 2016 жылы 14 мамырда "Шаян"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Б.Жанғазиевқа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31 наурыздағы № 53</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ауылдық округтер әкімдері үшін бағалау аудан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жұмыстың жеке жоспарымен көзделген мақсаттық көрсеткіштің орындалмағаны үшін 2 балл;</w:t>
      </w:r>
    </w:p>
    <w:bookmarkEnd w:id="40"/>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w:t>
      </w:r>
      <w:r>
        <w:rPr>
          <w:rFonts w:ascii="Times New Roman"/>
          <w:b w:val="false"/>
          <w:i/>
          <w:color w:val="000000"/>
          <w:sz w:val="28"/>
        </w:rPr>
        <w:t>мемлекеттік органның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