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da26" w14:textId="26bd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2017 жылғы 30 наурыздағы № 11/130-VI шешімі. Оңтүстік Қазақстан облысының Әділет департаментінде 2017 жылғы 5 мамырда № 4094 болып тіркелді. Күші жойылды - Оңтүстiк Қазақстан облыстық мәслихатының 2018 жылғы 20 наурыздағы № 21/250-VI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облыстық мәслихатының 20.03.2018 № 21/250-VI (алғашқы ресми жарияланған күнiнен кейiн күнтiзбелiк он күн өткен соң қолданысқа енгiзiледi)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Оңтүстік Қазақстан облыстық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облыстық мәслихатының 2016 жылғы 29 маусымдағы № 3/26-VI "Оңтүстік Қазақстан облыстық мәслихаты аппаратының "Б" корпусындағы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3819 болып тіркелген; 2016 жылғы 9 тамызда "Оңтүстік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С.Қуашбай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30 наурыздағы № 11/130-VI</w:t>
            </w:r>
            <w:r>
              <w:br/>
            </w:r>
            <w:r>
              <w:rPr>
                <w:rFonts w:ascii="Times New Roman"/>
                <w:b w:val="false"/>
                <w:i w:val="false"/>
                <w:color w:val="000000"/>
                <w:sz w:val="20"/>
              </w:rPr>
              <w:t>шешімімен бекітілді</w:t>
            </w:r>
          </w:p>
        </w:tc>
      </w:tr>
    </w:tbl>
    <w:bookmarkStart w:name="z6" w:id="4"/>
    <w:p>
      <w:pPr>
        <w:spacing w:after="0"/>
        <w:ind w:left="0"/>
        <w:jc w:val="left"/>
      </w:pPr>
      <w:r>
        <w:rPr>
          <w:rFonts w:ascii="Times New Roman"/>
          <w:b/>
          <w:i w:val="false"/>
          <w:color w:val="000000"/>
        </w:rPr>
        <w:t xml:space="preserve"> Оңтүстік Қазақстан облыстық мәслихаты аппаратының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Оңтүстік Қазақстан облыстық мәслихаты аппаратының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Оңтүстік Қазақстан облыстық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Оңтүстік Қазақстан облыстық мәслихаты хатшысымен бағалау жөніндегі комиссия құрылады, Бағалау жөніндегі Комиссия жұмысы персоналмен жұмыс лауазымдық міндетіне кіретін облыстық мәслихат аппаратының қызметкерімен (бұдан әрі - персоналды басқару қызметіне жауапты маман) қамтамасыз етіледі.</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Оңтүстік Қазақстан облыстық мәслихаты хатшысының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болуы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тікелей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Оңтүстік Қазақстан облыстық мәслихат хатшысының, Оңтүстік Қазақстан облыстық мәслихаты аппараты басшысының, Оңтүстік Қазақстан облыстық мәслихаты тұрақты комиссиясы төрағасының,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қызметі берген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 аппаратының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 аппаратының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 аппаратының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 аппаратының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