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73e4" w14:textId="6fa7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2017 жылғы 23 қаңтардағы № 14 қаулысы. Павлодар облысының Әділет департаментінде 2017 жылғы 8 ақпанда № 5365 болып тіркелді. Күші жойылды - Павлодар облысы Тереңкөл ауданы әкімдігінің 2019 жылғы 1 шілдедегі № 198/3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әкімдігінің 01.07.2019 № 198/3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Качир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4995 болып тіркелген, 2016 жылғы 17 наурыздағы "Тереңкөл тынысы", "Заря" № 11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Качир ауданы әкімінің орынбасары Қ.Н. Едрішеваға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14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w:t>
      </w:r>
      <w:r>
        <w:br/>
      </w:r>
      <w:r>
        <w:rPr>
          <w:rFonts w:ascii="Times New Roman"/>
          <w:b/>
          <w:i w:val="false"/>
          <w:color w:val="000000"/>
        </w:rPr>
        <w:t>бойынша бірыңғай ұйымдастырушы орындайтын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