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d832" w14:textId="5abd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28 қарашадағы № 385/6 қаулысы. Павлодар облысының Әділет департаментінде 2017 жылғы 13 желтоқсанда № 5734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Қазақстан Республикасының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385/6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"Техникалық және кәсіптік, орта білімнен кейінгі және</w:t>
      </w:r>
      <w:r>
        <w:br/>
      </w:r>
      <w:r>
        <w:rPr>
          <w:rFonts w:ascii="Times New Roman"/>
          <w:b/>
          <w:i w:val="false"/>
          <w:color w:val="000000"/>
        </w:rPr>
        <w:t>жоғары білім беру ұйымдарындағы тәрбиеленушілер мен</w:t>
      </w:r>
      <w:r>
        <w:br/>
      </w:r>
      <w:r>
        <w:rPr>
          <w:rFonts w:ascii="Times New Roman"/>
          <w:b/>
          <w:i w:val="false"/>
          <w:color w:val="000000"/>
        </w:rPr>
        <w:t>білім алушылардың жекелеген санаттағы азаматтарына, сондай-ақ,</w:t>
      </w:r>
      <w:r>
        <w:br/>
      </w:r>
      <w:r>
        <w:rPr>
          <w:rFonts w:ascii="Times New Roman"/>
          <w:b/>
          <w:i w:val="false"/>
          <w:color w:val="000000"/>
        </w:rPr>
        <w:t>қорғаншылық (қамқоршылықтағы) пен патронаттағы тұлғаларына тегін</w:t>
      </w:r>
      <w:r>
        <w:br/>
      </w:r>
      <w:r>
        <w:rPr>
          <w:rFonts w:ascii="Times New Roman"/>
          <w:b/>
          <w:i w:val="false"/>
          <w:color w:val="000000"/>
        </w:rPr>
        <w:t>тамақтандыруды ұсыну"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13.11.2019 </w:t>
      </w:r>
      <w:r>
        <w:rPr>
          <w:rFonts w:ascii="Times New Roman"/>
          <w:b w:val="false"/>
          <w:i w:val="false"/>
          <w:color w:val="ff0000"/>
          <w:sz w:val="28"/>
        </w:rPr>
        <w:t>№ 330/3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қызметін (бұдан әрі - мемлекеттік көрсетілетін қызмет) Павлодар облысының техникалық және кәсіптік, орта білімнен кейінгі, жоғары оқу орындары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қағаз жүзінде.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2017 жылғы 7 тамыздағы № 396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стандартының (бұдан әрі - Стандарт), (Нормативтік құқықтық актілерді мемлекеттік тіркеу тізілімінде № 15744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тегін тамақтануды ұсыну туралы хабарлама (бұдан әрі – Хабарлама).</w:t>
      </w:r>
    </w:p>
    <w:bookmarkEnd w:id="9"/>
    <w:p>
      <w:pPr>
        <w:spacing w:after="0"/>
        <w:ind w:left="0"/>
        <w:jc w:val="both"/>
      </w:pPr>
      <w:r>
        <w:rPr>
          <w:rFonts w:ascii="Times New Roman"/>
          <w:b w:val="false"/>
          <w:i w:val="false"/>
          <w:color w:val="000000"/>
          <w:sz w:val="28"/>
        </w:rPr>
        <w:t>
      Мемлекеттік қызмет көрсету нәтижесін беру беру нысаны: электронды/қағаз жүзінде.</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ұсынумен көрсетілетін қызметті алушының өтініші мемлекеттік қызмет көрсету бойынша рәсімді (іс-қимылды) бастауға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күнтізбелік күн;</w:t>
      </w:r>
    </w:p>
    <w:p>
      <w:pPr>
        <w:spacing w:after="0"/>
        <w:ind w:left="0"/>
        <w:jc w:val="both"/>
      </w:pPr>
      <w:r>
        <w:rPr>
          <w:rFonts w:ascii="Times New Roman"/>
          <w:b w:val="false"/>
          <w:i w:val="false"/>
          <w:color w:val="000000"/>
          <w:sz w:val="28"/>
        </w:rPr>
        <w:t>
      4) көрсетілетін қызметті берушінің басшысы құжаттарды қарастырады және мемлекеттік қызмет көрсету нәтижесіне қол қояды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көрсетілетін қызметті алушыға немесе Мемлекеттік корпорацияға не портал арқылы көрсетілетін қызметті алушының "жеке кабинетіне" жібереді – 15 (он бес) минут.</w:t>
      </w:r>
    </w:p>
    <w:bookmarkStart w:name="z15" w:id="13"/>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қарастыруға беру;</w:t>
      </w:r>
    </w:p>
    <w:p>
      <w:pPr>
        <w:spacing w:after="0"/>
        <w:ind w:left="0"/>
        <w:jc w:val="both"/>
      </w:pPr>
      <w:r>
        <w:rPr>
          <w:rFonts w:ascii="Times New Roman"/>
          <w:b w:val="false"/>
          <w:i w:val="false"/>
          <w:color w:val="000000"/>
          <w:sz w:val="28"/>
        </w:rPr>
        <w:t>
      2) құжаттарды қарастыру және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xml:space="preserve">
      3)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дайындау;</w:t>
      </w:r>
    </w:p>
    <w:p>
      <w:pPr>
        <w:spacing w:after="0"/>
        <w:ind w:left="0"/>
        <w:jc w:val="both"/>
      </w:pPr>
      <w:r>
        <w:rPr>
          <w:rFonts w:ascii="Times New Roman"/>
          <w:b w:val="false"/>
          <w:i w:val="false"/>
          <w:color w:val="000000"/>
          <w:sz w:val="28"/>
        </w:rPr>
        <w:t>
      4) мемлекеттік қызметті көрсету нәтижесін қарастыру және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жіберу.</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кестеде қоса беріледі.</w:t>
      </w:r>
    </w:p>
    <w:bookmarkEnd w:id="16"/>
    <w:bookmarkStart w:name="z19" w:id="17"/>
    <w:p>
      <w:pPr>
        <w:spacing w:after="0"/>
        <w:ind w:left="0"/>
        <w:jc w:val="left"/>
      </w:pPr>
      <w:r>
        <w:rPr>
          <w:rFonts w:ascii="Times New Roman"/>
          <w:b/>
          <w:i w:val="false"/>
          <w:color w:val="000000"/>
        </w:rPr>
        <w:t xml:space="preserve"> 4. Мемлекеттік қызметті көрсету процесінде Мемлекеттік корпорация</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берушінің сұрауын өңдеу ұзақтығы:</w:t>
      </w:r>
    </w:p>
    <w:bookmarkEnd w:id="18"/>
    <w:p>
      <w:pPr>
        <w:spacing w:after="0"/>
        <w:ind w:left="0"/>
        <w:jc w:val="both"/>
      </w:pPr>
      <w:r>
        <w:rPr>
          <w:rFonts w:ascii="Times New Roman"/>
          <w:b w:val="false"/>
          <w:i w:val="false"/>
          <w:color w:val="000000"/>
          <w:sz w:val="28"/>
        </w:rPr>
        <w:t xml:space="preserve">
      1)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қажетті құжаттарды Мемлекеттік корпорация операторына тапсырады.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1-процесс – қызмет көрсету үшін Мемлекеттік корпорация операторының логин мен парольді енгізуі (авторизациялау процесі);</w:t>
      </w:r>
    </w:p>
    <w:p>
      <w:pPr>
        <w:spacing w:after="0"/>
        <w:ind w:left="0"/>
        <w:jc w:val="both"/>
      </w:pPr>
      <w:r>
        <w:rPr>
          <w:rFonts w:ascii="Times New Roman"/>
          <w:b w:val="false"/>
          <w:i w:val="false"/>
          <w:color w:val="000000"/>
          <w:sz w:val="28"/>
        </w:rPr>
        <w:t>
      3) 2-процесс – Мемлекеттік корпорация операторының қызметті, сондай-ақ көрсетілетін қызметті алушы өкілінің деректерін таңдауы;</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(ата-аналардың немесе заңды өкілдерінің бірінен) туралы сұрауды жіберу;</w:t>
      </w:r>
    </w:p>
    <w:p>
      <w:pPr>
        <w:spacing w:after="0"/>
        <w:ind w:left="0"/>
        <w:jc w:val="both"/>
      </w:pPr>
      <w:r>
        <w:rPr>
          <w:rFonts w:ascii="Times New Roman"/>
          <w:b w:val="false"/>
          <w:i w:val="false"/>
          <w:color w:val="000000"/>
          <w:sz w:val="28"/>
        </w:rPr>
        <w:t>
      5) 1-шарт – ЖТ МДҚ-да көрсетілетін қызметті алушы деректерінің бар болуын тексеру;</w:t>
      </w:r>
    </w:p>
    <w:p>
      <w:pPr>
        <w:spacing w:after="0"/>
        <w:ind w:left="0"/>
        <w:jc w:val="both"/>
      </w:pPr>
      <w:r>
        <w:rPr>
          <w:rFonts w:ascii="Times New Roman"/>
          <w:b w:val="false"/>
          <w:i w:val="false"/>
          <w:color w:val="000000"/>
          <w:sz w:val="28"/>
        </w:rPr>
        <w:t>
      6) 4-процесс – ЖТ МДҚ-да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7) 5-процесс – ЭҮШ арқылы электрондық үкіметтің өңірлік шлюзінің автоматтандырылған жұмыс орнына (бұдан әрі – ЭҮӨШ АЖО) Мемлекеттік корпорация операторының электрондық цифрлық қолтаңбасымен (бұдан әрі - ЭЦҚ) куәландырылған (қол қойылған) электрондық құжатты (көрсетілетін қызметті алушының сұрауын) жіберу.</w:t>
      </w:r>
    </w:p>
    <w:bookmarkStart w:name="z21" w:id="19"/>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 сипаттау, оның ұзақтығы:</w:t>
      </w:r>
    </w:p>
    <w:bookmarkEnd w:id="19"/>
    <w:p>
      <w:pPr>
        <w:spacing w:after="0"/>
        <w:ind w:left="0"/>
        <w:jc w:val="both"/>
      </w:pPr>
      <w:r>
        <w:rPr>
          <w:rFonts w:ascii="Times New Roman"/>
          <w:b w:val="false"/>
          <w:i w:val="false"/>
          <w:color w:val="000000"/>
          <w:sz w:val="28"/>
        </w:rPr>
        <w:t>
      мемлекеттік корпорация қызметкері мемлекеттік қызметті көрсету үшін қажетті көрсетілетін қызметті алушының өтініші мен өзге де құжаттарының тіркеуін жүргізеді және құжаттардың көшірмелерін электрондық нысанында Мемлекеттік корпорация қызметкерінің ЭЦҚ-мен куәландырылған ақпараттық жүйе арқылы көрсетілетін қызметті берушіге жібереді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алынған құжаттарды қабылдауды және тіркеуді жүзеге асырады және көрсетілетін қызметті берушінің басшысына қарастыруға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және көрсетілетін қызметті берушінің жауапты орындаушысын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жауапты ресімдейді - 8 (сегіз) күнтізбелік күн;</w:t>
      </w:r>
    </w:p>
    <w:p>
      <w:pPr>
        <w:spacing w:after="0"/>
        <w:ind w:left="0"/>
        <w:jc w:val="both"/>
      </w:pPr>
      <w:r>
        <w:rPr>
          <w:rFonts w:ascii="Times New Roman"/>
          <w:b w:val="false"/>
          <w:i w:val="false"/>
          <w:color w:val="000000"/>
          <w:sz w:val="28"/>
        </w:rPr>
        <w:t>
      көрсетілетін қызметті берушінің басшысы құжаттарды қарастырады және мемлекеттік қызмет көрсету нәтижесіне қол қояды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немесе Мемлекеттік корпорацияға не портал арқылы көрсетілетін қызметті алушының "жеке кабинетіне" жібереді – 15 (он бес) минут;</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алушыға мемлекеттік қызметті көрсету нәтижесін береді - 15 (он бес) минут.</w:t>
      </w:r>
    </w:p>
    <w:bookmarkStart w:name="z22" w:id="20"/>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жүгіну және рәсімдер (іс-қимылдар) реттілігін сипаттау:</w:t>
      </w:r>
    </w:p>
    <w:bookmarkEnd w:id="20"/>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сондай-ақ парольдің көмегімен порталда тіркеуді жүзеге асырады;</w:t>
      </w:r>
    </w:p>
    <w:p>
      <w:pPr>
        <w:spacing w:after="0"/>
        <w:ind w:left="0"/>
        <w:jc w:val="both"/>
      </w:pPr>
      <w:r>
        <w:rPr>
          <w:rFonts w:ascii="Times New Roman"/>
          <w:b w:val="false"/>
          <w:i w:val="false"/>
          <w:color w:val="000000"/>
          <w:sz w:val="28"/>
        </w:rPr>
        <w:t>
      2) 1-процесс – қызметті алу үшін көрсетілетін қызметті алушының порталда ЖСН және парольді енгізуі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 мен пароль арқылы тексеру;</w:t>
      </w:r>
    </w:p>
    <w:p>
      <w:pPr>
        <w:spacing w:after="0"/>
        <w:ind w:left="0"/>
        <w:jc w:val="both"/>
      </w:pPr>
      <w:r>
        <w:rPr>
          <w:rFonts w:ascii="Times New Roman"/>
          <w:b w:val="false"/>
          <w:i w:val="false"/>
          <w:color w:val="000000"/>
          <w:sz w:val="28"/>
        </w:rPr>
        <w:t>
      4) 2-процесс - порталдың көрсетілетін қызметті алушының деректерінде бұзушылықтардың болуына байланысты авторизациялаудан бас тарту туралы хабарламаны қалыптастыруы;</w:t>
      </w:r>
    </w:p>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сұрау салуды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қайтарылғандар (жойылған) тізілімінде болмауын (сұрау салуда көрсетілген ЖСН мен ЭЦҚ тіркеу куәлігінде көрсетілген ЖСН арасындағы) тексеру;</w:t>
      </w:r>
    </w:p>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ЭЦК-мен куәландырылған (қол қойылған) электрондық құжатты (көрсетілетін қызметті алушының сұрау салуын)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көрсетуден бас тарту үшін негізінің сәйкестігін тексеруі;</w:t>
      </w:r>
    </w:p>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11) 7-процесс – көрсетілетін қызметті алушының ЭҮӨШ АЖО қалыптастырылған қызмет нәтижесін (электрондық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xml:space="preserve">
      Портал арқылы мемлекеттік қызметті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диаграммамен көрсетілген.</w:t>
      </w:r>
    </w:p>
    <w:bookmarkStart w:name="z23" w:id="21"/>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 толық сипаттау, сондай-ақ мемлекеттік қызметті көрсету процесінде ақпараттық жүйелерді пайдалану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бизнес-процестер анықтамалығында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көрсетумен көрсетілетін</w:t>
      </w:r>
      <w:r>
        <w:br/>
      </w:r>
      <w:r>
        <w:rPr>
          <w:rFonts w:ascii="Times New Roman"/>
          <w:b/>
          <w:i w:val="false"/>
          <w:color w:val="000000"/>
        </w:rPr>
        <w:t>қызметті берушінің құрылымдық бөлімшелері (қызметкерлері)</w:t>
      </w:r>
      <w:r>
        <w:br/>
      </w:r>
      <w:r>
        <w:rPr>
          <w:rFonts w:ascii="Times New Roman"/>
          <w:b/>
          <w:i w:val="false"/>
          <w:color w:val="000000"/>
        </w:rPr>
        <w:t>арасындағы рәсімдердің (іс-қимылдардың)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832"/>
        <w:gridCol w:w="2208"/>
        <w:gridCol w:w="1516"/>
        <w:gridCol w:w="3226"/>
        <w:gridCol w:w="1516"/>
        <w:gridCol w:w="1517"/>
      </w:tblGrid>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 (жұмыс барысы, ағымы)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(қызметкерлер)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атауы (процестің, операцияның рәсімдер) және оларды сипаттау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құжаттарды қабылдауды және тіркеуді жүзеге асырады және көрсетілетін қызметті берушінің басшысына қараcтыруға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көрсетілетін қызметті берушінің жауапты орындаушысын анықтайды</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жауапты ресімдейді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қарастырады және мемлекеттік қызмет көрсету нәтижесіне қол қояды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тіркейді және Мемлекеттік корпорацияға жібереді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қарастыруға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жауапты орындаушысына қарастыруға береді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немесе мемлекеттік қызмет көрсетуден бас тарту туралы дәлелді жауапты көрсетілетін қызметті берушінің басшысына қарастыруға және қол қоюға береді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кеңсе қызметкеріне қарастыруға береді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береді</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минут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күнтізбелік күн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көрсетуге тартылған</w:t>
      </w:r>
      <w:r>
        <w:br/>
      </w:r>
      <w:r>
        <w:rPr>
          <w:rFonts w:ascii="Times New Roman"/>
          <w:b/>
          <w:i w:val="false"/>
          <w:color w:val="000000"/>
        </w:rPr>
        <w:t xml:space="preserve">ақпараттық жүйелердің функционалдық өзара іс-қимыл диаграммасы </w:t>
      </w:r>
    </w:p>
    <w:bookmarkEnd w:id="23"/>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9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және жоғары</w:t>
            </w:r>
            <w:r>
              <w:br/>
            </w:r>
            <w:r>
              <w:rPr>
                <w:rFonts w:ascii="Times New Roman"/>
                <w:b w:val="false"/>
                <w:i w:val="false"/>
                <w:color w:val="000000"/>
                <w:sz w:val="20"/>
              </w:rPr>
              <w:t>білім беру ұйымдарындағы</w:t>
            </w:r>
            <w:r>
              <w:br/>
            </w:r>
            <w:r>
              <w:rPr>
                <w:rFonts w:ascii="Times New Roman"/>
                <w:b w:val="false"/>
                <w:i w:val="false"/>
                <w:color w:val="000000"/>
                <w:sz w:val="20"/>
              </w:rPr>
              <w:t>тәрбиеленушілер мен білім</w:t>
            </w:r>
            <w:r>
              <w:br/>
            </w:r>
            <w:r>
              <w:rPr>
                <w:rFonts w:ascii="Times New Roman"/>
                <w:b w:val="false"/>
                <w:i w:val="false"/>
                <w:color w:val="000000"/>
                <w:sz w:val="20"/>
              </w:rPr>
              <w:t>алушылардың жекелеген</w:t>
            </w:r>
            <w:r>
              <w:br/>
            </w:r>
            <w:r>
              <w:rPr>
                <w:rFonts w:ascii="Times New Roman"/>
                <w:b w:val="false"/>
                <w:i w:val="false"/>
                <w:color w:val="000000"/>
                <w:sz w:val="20"/>
              </w:rPr>
              <w:t>санаттағы азаматтарына,</w:t>
            </w:r>
            <w:r>
              <w:br/>
            </w:r>
            <w:r>
              <w:rPr>
                <w:rFonts w:ascii="Times New Roman"/>
                <w:b w:val="false"/>
                <w:i w:val="false"/>
                <w:color w:val="000000"/>
                <w:sz w:val="20"/>
              </w:rPr>
              <w:t>сондай-ақ, қорғаншылық</w:t>
            </w:r>
            <w:r>
              <w:br/>
            </w:r>
            <w:r>
              <w:rPr>
                <w:rFonts w:ascii="Times New Roman"/>
                <w:b w:val="false"/>
                <w:i w:val="false"/>
                <w:color w:val="000000"/>
                <w:sz w:val="20"/>
              </w:rPr>
              <w:t>(қамқоршылықтағы) пен</w:t>
            </w:r>
            <w:r>
              <w:br/>
            </w:r>
            <w:r>
              <w:rPr>
                <w:rFonts w:ascii="Times New Roman"/>
                <w:b w:val="false"/>
                <w:i w:val="false"/>
                <w:color w:val="000000"/>
                <w:sz w:val="20"/>
              </w:rPr>
              <w:t>патронаттағы тұлғаларына тегін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"Техникалық және кәсіптік, орта білімнен кейінгі және</w:t>
      </w:r>
      <w:r>
        <w:br/>
      </w:r>
      <w:r>
        <w:rPr>
          <w:rFonts w:ascii="Times New Roman"/>
          <w:b/>
          <w:i w:val="false"/>
          <w:color w:val="000000"/>
        </w:rPr>
        <w:t>жоғары білім беру ұйымдарындағы тәрбиеленушілер мен</w:t>
      </w:r>
      <w:r>
        <w:br/>
      </w:r>
      <w:r>
        <w:rPr>
          <w:rFonts w:ascii="Times New Roman"/>
          <w:b/>
          <w:i w:val="false"/>
          <w:color w:val="000000"/>
        </w:rPr>
        <w:t>білім алушылардың жекелеген санаттағы азаматтарына,</w:t>
      </w:r>
      <w:r>
        <w:br/>
      </w:r>
      <w:r>
        <w:rPr>
          <w:rFonts w:ascii="Times New Roman"/>
          <w:b/>
          <w:i w:val="false"/>
          <w:color w:val="000000"/>
        </w:rPr>
        <w:t>сондай-ақ, қорғаншылық (қамқоршылықтағы) пен патронаттағы</w:t>
      </w:r>
      <w:r>
        <w:br/>
      </w:r>
      <w:r>
        <w:rPr>
          <w:rFonts w:ascii="Times New Roman"/>
          <w:b/>
          <w:i w:val="false"/>
          <w:color w:val="000000"/>
        </w:rPr>
        <w:t>тұлғаларына тегін тамақтандыруды ұсыну" мемлекеттік</w:t>
      </w:r>
      <w:r>
        <w:br/>
      </w:r>
      <w:r>
        <w:rPr>
          <w:rFonts w:ascii="Times New Roman"/>
          <w:b/>
          <w:i w:val="false"/>
          <w:color w:val="000000"/>
        </w:rPr>
        <w:t xml:space="preserve">қызмет көрсетудің бизнес-процестерінің анықтамалығы </w:t>
      </w:r>
    </w:p>
    <w:bookmarkEnd w:id="25"/>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32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