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151e" w14:textId="e9b1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28 ақпандағы № 155 "Қостанай облысы Жангелдин ауданының Қарасу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2017 жылғы 18 мамырдағы № 101 шешімі. Қостанай облысының Әділет департаментінде 2017 жылғы 7 маусымда № 7092 болып тіркелді. Күші жойылды - Қостанай облысы Жангелдин ауданы мәслихатының 2018 жылғы 17 мамырдағы № 172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17.05.2018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28 ақпандағы № 155 "Қостанай облысы Жангелдин ауданының Қарасу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4588 тіркелген, 2014 жылғы 24 сәуірде "Әділет" ақпараттық-құқықтық жүйесінде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Қостанай облысы Жангелдин ауданының Қарасу ауылында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Қарасу ауылының аумағындағы ауыл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Жергілікті қоғамдастық жиынына қатысу үшін Қарасу ауылының тұрғындары өкілдерінің кандидатураларын Жангелдин аудандық мәслихатымен бекітілген сандық құрамына сәйкес бөлек жиынның қатысушылары ұсынады.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ауданының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ауылының әкімі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С. Оразбаев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18 мамыр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