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9609" w14:textId="dce9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503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28 тамыздағы № 427 қаулысы. Қостанай облысының Әділет департаментінде 2017 жылғы 3 қазанда № 7236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w:t>
      </w:r>
      <w:r>
        <w:rPr>
          <w:rFonts w:ascii="Times New Roman"/>
          <w:b w:val="false"/>
          <w:i w:val="false"/>
          <w:color w:val="000000"/>
          <w:sz w:val="28"/>
        </w:rPr>
        <w:t>№ 503</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қаулысына (Нормативтік құқықтық актілерді мемлекеттік тіркеу тізілімінде № 6062 болып тіркелген, 2015 жылғы 26 желтоқсанда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мемлекеттік тіркеу тізілімінде № 11765 болып тіркелген)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3"/>
    <w:bookmarkStart w:name="z9" w:id="4"/>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4"/>
    <w:bookmarkStart w:name="z10" w:id="5"/>
    <w:p>
      <w:pPr>
        <w:spacing w:after="0"/>
        <w:ind w:left="0"/>
        <w:jc w:val="both"/>
      </w:pPr>
      <w:r>
        <w:rPr>
          <w:rFonts w:ascii="Times New Roman"/>
          <w:b w:val="false"/>
          <w:i w:val="false"/>
          <w:color w:val="000000"/>
          <w:sz w:val="28"/>
        </w:rPr>
        <w:t xml:space="preserve">
      5. Мемлекеттік қызмет көрсету бойынша рәсімдерді (іс-қимылдарды)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алушыдан қызметті берушінің еркін нысандағы өтінішін қабылдауы болып табылады.".</w:t>
      </w:r>
    </w:p>
    <w:bookmarkEnd w:id="5"/>
    <w:bookmarkStart w:name="z11" w:id="6"/>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