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c6ca" w14:textId="6d0c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23 қарашадағы № 504 "Су объектілерін оқшауланған немесе бірлесіп пайдалануға конкурстық негізде беру"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28 тамыздағы № 428 қаулысы. Қостанай облысының Әділет департаментінде 2017 жылғы 25 қыркүйекте № 7214 болып тіркелді. Күші жойылды - Қостанай облысы әкімдігінің 2020 жылғы 13 қаңтардағы № 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 объектілерін оқшауланған немесе бірлесіп пайдалануға конкурстық негізде беру" мемлекеттік көрсетілетін қызмет регламентін бекіту туралы" қаулысына (Нормативтік құқықтық актілерді мемлекеттік тіркеу тізілімінде № 6073 болып тіркелген, 2015 жылғы 26 желтоқсанда "Қостанай таңы"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"Су объектілерін оқшауланған немесе бірлесіп пайдалануға конкурстық негізде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Мемлекеттік қызметті көрсету нәтижесі – су объектісін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оқшауланған немесе бірлесіп пайдалануға беру туралы шешімі және (немесе) конкурс қорытындылары туралы конкурстық комиссия хаттамасы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қағаз түрінде облыстың жергілікті атқарушы органы 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конкурс жеңімпазы арасындағы су объектілерін оқшауланған немесе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бірлесіп пайдалануға беру туралы шарт не "Су қорын пайдалануды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реттеу саласындағы мемлекеттік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стандарттарын бекіту туралы" Қазақстан Республикасы Ауыл 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"Су объектілерін оқшауланған немесе бірлесіп пайдалануға конкурстық негізде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стандартының (Нормативтік құқықтық актілерді мемлекеттік тіркеу тізілімінде № 11765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бас тарту туралы дәлелді жауап.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көрсету нәтижесін беру нысаны: қағаз түрінде.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бойынша рәсімдерді (іс-қимылдарды) бастауға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көрсетілетін қызметті берушінің құжаттар қосымшасымен бірге (бұдан әрі – құжаттар топтамасы) өтінішті қабылдауы болып табылады.".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