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430" w14:textId="3f42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24 шілдедегі № 363 қаулысы. Қостанай облысының Әділет департаментінде 2017 жылғы 17 тамызда № 7166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6578 болып тіркелген, 2016 жылғы 20 тамызда "Костанайские новости" газетiнде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көрсетілетін қызметтің нәтижесі: грантты беру туралы шарт немесе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- Стандарт) (Нормативтік құқықтық актілерді мемлекеттік тіркеу тізілімінде № 11181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мемлекеттік қызметті көрсетуден бас тарту туралы дәлелді жауап.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өтінім мен құжаттарды (бұдан әрі – құжаттар топтамасы) қабылдауы болып табылады.";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көрсетілетін қызметтің нәтижесі: Өңірлік үйлестіру кеңесі (бұдан әрі – ӨҮК) отырысы хаттамасының үзінді көшірмесі немесе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бекітілген 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- Стандарт) (Нормативтік құқықтық актілерді мемлекеттік тіркеу тізілімінде № 11181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 мен негіздер бойынша мемлекеттік қызметті көрсетуден бас тарту туралы дәлелді жауап.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қоса берілген өтінімді (бұдан әрі – құжаттар топтамасы) қабылдауы болып табылады.";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