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6ea0" w14:textId="a9e6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2017 жылғы 31 наурыздағы № 101 шешімі. Қызылорда облысының Әділет департаментінде 2017 жылғы 18 сәуірде № 5797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Қазалы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ХІІІ сессиясының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Т.Әліпбаев</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К.Назымбеков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