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3066" w14:textId="e4d3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Ақсу-Аюлы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Ақсу-Аюлы ауылдық округінің әкімінің 2017 жылғы 8 маусымдағы № 3 шешімі. Қарағанды облысының Әділет департаментінде 2017 жылғы 19 маусымда № 4284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08 желтоқсандағы "Қазақстан Республикасының әкімшілік–аумақтық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20 желтоқсандағы Қарағанды облысы әкімдігінің жанындағы облыстық ономастика комиссиясының қорытындылары негізінде, сондай-ақ ауыл тұрғындарының пікірін ескере отырып, Ақсу-Аюлы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Шет ауданы Ақсу-Аюлы ауылындағы "Алматы-Екатеринбург" тас жолының бойындағы тұйық көше Зейнолла Игілікұлы көшесі деп қайта аталсын.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Ақсу-Аюлы ауылдық округі әкімінің орынбасары Ө. Омаровқа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Ақсу-Аюлы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