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d299" w14:textId="cacd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2017 жылғы 22 мамырдағы № 155 қаулысы. Ақтөбе облысының Әділет департаментінде 2017 жылғы 8 маусымда № 5524 болып тіркелді. Күші жойылды - Ақтөбе облысы Қарғалы ауданы әкімдігінің 2022 жылғы 21 желтоқсандағы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әкімдігінің 21.12.2022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ауданында көшпелі сауданы жүзеге асыру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І.Тынымгереевке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2017 жылғы 22 мамырдағы № 155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ауданында көшпелі сауданы іске асыруға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Саудаға арналған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Әлімбет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көшесі № 66 үйдің алдында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Шандыаша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16 "б"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Ащылысай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Каструбин көшесі № 12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В.Жук көшесі № 44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 6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Велиховка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37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55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 №1 үйдің алдында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көшесі № 1 үйдің алдында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Қосестек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 көшесі № 91 үйдің алдында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Кемпірсай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жер көшесі №28 және №32 үйлер аралығы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Орталық көшесі № 31 және № 35/1 үйлер аралығы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Гагарин көшесі № 2 және № 4 үйлер аралығы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Д.А.Қонаев көшесі № 2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көшесі № 28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Бадамша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В.Пацаев көшесі № 3 үйдің алдында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көшесіндегі № 38 және № 40 көп қабатты тұрғын үйлердің аралығы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