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7f98" w14:textId="1af7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21 желтоқсандағы № 272 шешімі. Ақтөбе облысының Әділет департаментінде 2018 жылғы 10 қаңтарда № 5831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Ақтөбе қаласы бойынша сот шешімімен коммуналдық меншікке түскен болып танылған иесіз қалдықтарды басқару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шешімімен бекітілді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сот шешімімен коммуналдық меншікке түскен болып танылған иесіз қалдықтарды басқару қағидалары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Ақтөбе қаласы бойынша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- Ақтөбе облысы Ақтөбе қалалық мәслихатының 05.03.2021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Ақтөбе қаласының әкімдігі, (бұдан әрі – жергiлiктi атқарушы орган) жүзеге асырады.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Ақтөбе қаласы әкімдігінің "Ақтөбе қаласының тұрғын үй-коммуналдық шаруашылық, жолаушылар көлігі және автомобиль жолдары бөлімі" мемлекеттік мекемесі 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Ақтөбе қалалық мәслихатының 05.03.2021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қазақ тілінде жаңа редакцияда, орыс тіліндегі мәтіні өзгермейді - Ақтөбе облысы Ақтөбе қалалық мәслихатының 05.03.2021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Ақтөбе қалалық мәслихатының 22.11.2019 № 487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орыс тілінде жаңа редакцияда, қазақ тіліндегі мәтіні өзгермейді - Ақтөбе облысы Ақтөбе қалалық мәслихатының 05.03.2021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Қадықтармен жұмыс iстеу барысында Қазақстан Республикасының экологиялық заңнамасында көзделген талаптар сақталады.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