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b72e" w14:textId="c86b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мөлшерiнде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2017 жылғы 20 шілдедегі № А-2/302 қаулысы. Ақмола облысының Әділет департаментінде 2017 жылғы 17 тамызда № 6054 болып тіркелді. Күші жойылды - Ақмола облысы Целиноград ауданы әкімдігінің 2022 жылғы 25 қаңтардағы № А-1/11 қаулысымен.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ауданы әкімдігінің 25.01.2022 </w:t>
      </w:r>
      <w:r>
        <w:rPr>
          <w:rFonts w:ascii="Times New Roman"/>
          <w:b w:val="false"/>
          <w:i w:val="false"/>
          <w:color w:val="ff0000"/>
          <w:sz w:val="28"/>
        </w:rPr>
        <w:t>№ А-1/11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Целиноград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Целиноград ауданында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жұмыскерлердің тізімдік саны бар ұйымдарға белгіленсін:</w:t>
      </w:r>
    </w:p>
    <w:bookmarkEnd w:id="1"/>
    <w:bookmarkStart w:name="z3"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4"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5"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6" w:id="5"/>
    <w:p>
      <w:pPr>
        <w:spacing w:after="0"/>
        <w:ind w:left="0"/>
        <w:jc w:val="both"/>
      </w:pPr>
      <w:r>
        <w:rPr>
          <w:rFonts w:ascii="Times New Roman"/>
          <w:b w:val="false"/>
          <w:i w:val="false"/>
          <w:color w:val="000000"/>
          <w:sz w:val="28"/>
        </w:rPr>
        <w:t>
      2. Осы қаулының орындалуын бақылауды Целиноград ауданы әкімінің орынбасары А.К.Айткужиноваға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