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e7ba" w14:textId="181e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Каменск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Каменск ауылдық округі әкімінің 2017 жылғы 25 қаңтардағы № 1 шешімі. Ақмола облысының Әділет департаментінде 2017 жылғы 28 ақпанда № 5788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21 қазандағы қорытындысы негізінде, Каменск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Каменск ауылдық округінің Каменка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Молодежная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Больничная көшесі Жеңіс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Куйбышев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Ленин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Рабочая көшесі Тәуелсіздіктің 25 жылдығы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Каменск ауылдық округінің Богословка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Верхняя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Нижняя көшесі Орталық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бақылауды өзіме қалдырамын.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Каменск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М.Аркенова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