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445d" w14:textId="80044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ауданы Веселов ауылдық округі елді мекендерінің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ауданы Веселов ауылдық округі әкімінің 2017 жылғы 9 ақпандағы № 1 шешімі. Ақмола облысының Әділет департаментінде 2017 жылғы 24 ақпанда № 5778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2016 жылғы 05 желтоқсандағы қорытындысы негізінде, Веселов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Сандықтау ауданы Веселов ауылдық округі Веселое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Школьная көшесі Ыбырай Алтынсарин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Комсомольская көшесі Әлихан Бөкейханов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Первомайская көшесі Баубек Бұлқышев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Набережная көшесі Хамит Ерғалиев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Студенческая көшесі Астана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АТП көшесі Береке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ХПП көшесі Атамекен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Сандықтау ауданы Веселов ауылдық округі Новоселовка ауылының көшелері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Степная көшесі Тәуелсіздік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Набережная көшесі Қараөткел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Веселов ауылдық округінің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