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c73e" w14:textId="f1bc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2017 жылғы 31 тамыздағы № А-9/207 қаулысы. Ақмола облысының Әділет департаментінде 2017 жылғы 6 қазанда № 6101 болып тіркелді. Күші жойылды - Ақмола облысы Сандықтау ауданы әкімдігінің 2022 жылғы 8 сәуірдегі № А-4/108 қаулысымен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ауданы әкімдігінің 08.04.2022 </w:t>
      </w:r>
      <w:r>
        <w:rPr>
          <w:rFonts w:ascii="Times New Roman"/>
          <w:b w:val="false"/>
          <w:i w:val="false"/>
          <w:color w:val="ff0000"/>
          <w:sz w:val="28"/>
        </w:rPr>
        <w:t>№ А-4/108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27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Сандықтау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Сандықтау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 белгіленсін: </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w:t>
      </w:r>
    </w:p>
    <w:bookmarkStart w:name="z3" w:id="2"/>
    <w:p>
      <w:pPr>
        <w:spacing w:after="0"/>
        <w:ind w:left="0"/>
        <w:jc w:val="both"/>
      </w:pPr>
      <w:r>
        <w:rPr>
          <w:rFonts w:ascii="Times New Roman"/>
          <w:b w:val="false"/>
          <w:i w:val="false"/>
          <w:color w:val="000000"/>
          <w:sz w:val="28"/>
        </w:rPr>
        <w:t>
      2. Осы қаулының орындалуын бақылау сол сұрақты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