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977" w14:textId="359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Ақкөл ауданының шекараларында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4 қазандағы № С 15-2 шешімі. Ақмола облысының Әділет департаментінде 2017 жылғы 11 қазанда № 6115 болып тіркелді. Күші жойылды - Ақмола облысы Ақкөл аудандық мәслихатының 2018 жылғы 14 ақпандағы № С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С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Ақкөл ауданының шекараларында пайдаланылмайтын ауыл шаруашылығы мақсатындағы жерлерге бірыңғай жер салығының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аудандық мәслихаттың 2015 жылғы 30 наурыздағы № С 46-9 "Ақкөл ауданының ауыл шаруашылығы мақсатындағы жерлерге бірыңғай жер салығы мөлшерлемесін жоғарылату туралы" (Нормативтік құқықтық актілерді мемлекеттік тіркеу тізілімінде № 4780 тіркелген, 2015 жылғы 8 мамырда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қазан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