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e692" w14:textId="396e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Көкшетау қалалық мәслихатының 2017 жылғы 18 сәуірдегі № С-9/4 шешімі. Ақмола облысының Әділет департаментінде 2017 жылғы 22 мамырда № 5955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9946 тіркелген) сәйкес, Көкшетау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2017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бiр мың бес жүз еселiк айлық есептiк көрсеткiштен аспайтын сомада бюджеттiк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9-шы кезекті</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Р.Арыстанқызы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"18"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