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0fb4" w14:textId="ddc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2017 жылғы 12 желтоқсандағы № 448 және Қазақстан Республикасы Ұлттық экономика министрінің 2017 жылғы 15 желтоқсандағы № 419 бірлескен бұйрығы. Қазақстан Республикасының Әділет министрлігінде 2017 жылы 28 желтоқсанда № 16159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(Нормативтік-құқықтық актілерді мемлекеттік тіркеу тізілімінде № 12779 болып тіркелген, "Әділет" ақпараттық-құқықтық жүйесінде 2016 жылғы 26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w:t>
      </w:r>
    </w:p>
    <w:bookmarkEnd w:id="2"/>
    <w:bookmarkStart w:name="z5" w:id="3"/>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баспасөз басылымдарына ресми жариялауға жіберуді;</w:t>
      </w:r>
    </w:p>
    <w:bookmarkEnd w:id="5"/>
    <w:bookmarkStart w:name="z8" w:id="6"/>
    <w:p>
      <w:pPr>
        <w:spacing w:after="0"/>
        <w:ind w:left="0"/>
        <w:jc w:val="both"/>
      </w:pPr>
      <w:r>
        <w:rPr>
          <w:rFonts w:ascii="Times New Roman"/>
          <w:b w:val="false"/>
          <w:i w:val="false"/>
          <w:color w:val="000000"/>
          <w:sz w:val="28"/>
        </w:rPr>
        <w:t xml:space="preserve">
      4) осы бірлескен бұйрықты Қазақстан Республикасы Энергетика министрлігінің интернет-ресурсында орналастыруды; </w:t>
      </w:r>
    </w:p>
    <w:bookmarkEnd w:id="6"/>
    <w:bookmarkStart w:name="z9" w:id="7"/>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Б. Мусин</w:t>
      </w:r>
    </w:p>
    <w:p>
      <w:pPr>
        <w:spacing w:after="0"/>
        <w:ind w:left="0"/>
        <w:jc w:val="both"/>
      </w:pPr>
      <w:r>
        <w:rPr>
          <w:rFonts w:ascii="Times New Roman"/>
          <w:b w:val="false"/>
          <w:i w:val="false"/>
          <w:color w:val="000000"/>
          <w:sz w:val="28"/>
        </w:rPr>
        <w:t>
      2017 жылғы 15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419 және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министрінің 2017 жылғы</w:t>
            </w:r>
            <w:r>
              <w:br/>
            </w:r>
            <w:r>
              <w:rPr>
                <w:rFonts w:ascii="Times New Roman"/>
                <w:b w:val="false"/>
                <w:i w:val="false"/>
                <w:color w:val="000000"/>
                <w:sz w:val="20"/>
              </w:rPr>
              <w:t>12 желтоқсандағы № 448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w:t>
            </w:r>
            <w:r>
              <w:br/>
            </w:r>
            <w:r>
              <w:rPr>
                <w:rFonts w:ascii="Times New Roman"/>
                <w:b w:val="false"/>
                <w:i w:val="false"/>
                <w:color w:val="000000"/>
                <w:sz w:val="20"/>
              </w:rPr>
              <w:t>желтоқсанындағы</w:t>
            </w:r>
            <w:r>
              <w:br/>
            </w:r>
            <w:r>
              <w:rPr>
                <w:rFonts w:ascii="Times New Roman"/>
                <w:b w:val="false"/>
                <w:i w:val="false"/>
                <w:color w:val="000000"/>
                <w:sz w:val="20"/>
              </w:rPr>
              <w:t>№ 835 және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министрінің 2015 жылғы</w:t>
            </w:r>
            <w:r>
              <w:br/>
            </w:r>
            <w:r>
              <w:rPr>
                <w:rFonts w:ascii="Times New Roman"/>
                <w:b w:val="false"/>
                <w:i w:val="false"/>
                <w:color w:val="000000"/>
                <w:sz w:val="20"/>
              </w:rPr>
              <w:t>15 желтоқсанындағы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Қоршаған ортаны қорғау, табиғи ресурстарды молықтыру және</w:t>
      </w:r>
      <w:r>
        <w:br/>
      </w:r>
      <w:r>
        <w:rPr>
          <w:rFonts w:ascii="Times New Roman"/>
          <w:b/>
          <w:i w:val="false"/>
          <w:color w:val="000000"/>
        </w:rPr>
        <w:t>пайдалану саласындағы тәуекел дәрежесін бағалау өлшемшарттары</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Қоршаған ортаны қорғау, табиғи ресурстарды молықтыру және пайдалану саласындағы тәуекел дәрежесін бағалау өлшемшарттары (бұдан әрі – Өлшемшарттар)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Ұлттық экономика министрінің м.а. 2015 жылғы 25 қарашадағы № 722 бұйрығымен (Нормативтік құқықтық актілерді мемлекеттік тіркеу тізілімінде № 12389 болып тіркелген) бекітілген Мемлекеттік органдардың (Қазақстан Республикасының Ұлттық банкін қоспағанда) тәуекелді бағалау жүйесін қалыптастыруы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сәйкес қоршаған ортаны қорғау, табиғи ресурстарды молықтыру және пайдалану саласындағы тексеру субъектілерін (объектілерін) тәуекел дәрежесіне жатқызу анықтау үшін қалыптастырылды.</w:t>
      </w:r>
    </w:p>
    <w:bookmarkEnd w:id="11"/>
    <w:bookmarkStart w:name="z15" w:id="12"/>
    <w:p>
      <w:pPr>
        <w:spacing w:after="0"/>
        <w:ind w:left="0"/>
        <w:jc w:val="both"/>
      </w:pPr>
      <w:r>
        <w:rPr>
          <w:rFonts w:ascii="Times New Roman"/>
          <w:b w:val="false"/>
          <w:i w:val="false"/>
          <w:color w:val="000000"/>
          <w:sz w:val="28"/>
        </w:rPr>
        <w:t>
      2. Өлшемшарттарда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болмашы бұзушылықтар – қоршаған ортаны қорғау саласындағы нормативтік құқықтық актілерде белгіленген, халықтың өміріне және денсаулығына, қоршаған ортаға қауіп төндіру алғышарттарын тудырмайтын, бірақ қызметін жүзеге асыру барысында табиғат пайдаланушыларға орындалуы міндетті болып табылатын талаптарды бұзу; сондай-ақ расталған бір өтініш немесе шағымның болуына; аудиттiң нәтижелерi бойынша қоршаған ортаны қорғау саласындағы уәкiлеттi органға өндiрiстiк экологиялық бақылау бағдарламасына өзгерiстер енгiзу ұсынымдарын беруге мүмкіндік беретін фактілердің болуына байланысты бұзушылықтар;</w:t>
      </w:r>
    </w:p>
    <w:bookmarkEnd w:id="13"/>
    <w:bookmarkStart w:name="z17" w:id="14"/>
    <w:p>
      <w:pPr>
        <w:spacing w:after="0"/>
        <w:ind w:left="0"/>
        <w:jc w:val="both"/>
      </w:pPr>
      <w:r>
        <w:rPr>
          <w:rFonts w:ascii="Times New Roman"/>
          <w:b w:val="false"/>
          <w:i w:val="false"/>
          <w:color w:val="000000"/>
          <w:sz w:val="28"/>
        </w:rPr>
        <w:t>
      2) елеулі бұзушылықтар - қоршаған ортаны қорғау саласындағы нормативтік құқықтық актілерде белгіленген, халықтың өміріне және денсаулығына, қоршаған ортаға қауіп төндіру алғышарттарын тудыратын бұзушылықтар; сондай-ақ қоршаған ортаны қорғау саласындағы есеп жүргізуге; міндетті экологиялық сақтандырудың болмауына,дұрыс емес есептілікті тапсыруға; белгiленген есептілікті бермеуге;бақылаудағы субъекті бойынша расталған екі өтініш пен шағымның болуына; аудиттің нәтижелері бойыншаэмиссияларға рұқсат талаптарына өзгерiстер енгiзуге мүмкіндік беретін фактілердің бар болуына байланысты бұзушылықтар;</w:t>
      </w:r>
    </w:p>
    <w:bookmarkEnd w:id="14"/>
    <w:bookmarkStart w:name="z18" w:id="15"/>
    <w:p>
      <w:pPr>
        <w:spacing w:after="0"/>
        <w:ind w:left="0"/>
        <w:jc w:val="both"/>
      </w:pPr>
      <w:r>
        <w:rPr>
          <w:rFonts w:ascii="Times New Roman"/>
          <w:b w:val="false"/>
          <w:i w:val="false"/>
          <w:color w:val="000000"/>
          <w:sz w:val="28"/>
        </w:rPr>
        <w:t>
      3) қоршаған ортаны қорғау, табиғи ресурстарды молықтыру және пайдалану саласындағы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w:t>
      </w:r>
    </w:p>
    <w:bookmarkEnd w:id="15"/>
    <w:bookmarkStart w:name="z19" w:id="16"/>
    <w:p>
      <w:pPr>
        <w:spacing w:after="0"/>
        <w:ind w:left="0"/>
        <w:jc w:val="both"/>
      </w:pPr>
      <w:r>
        <w:rPr>
          <w:rFonts w:ascii="Times New Roman"/>
          <w:b w:val="false"/>
          <w:i w:val="false"/>
          <w:color w:val="000000"/>
          <w:sz w:val="28"/>
        </w:rPr>
        <w:t>
      4) өрескел бұзушылықтар – қоршаған ортаны қорғау саласындағы нормативтік құқықтық актілерде белгіленген, заңнаманың тыйым салатын нормасын сақтамауына байланысты бұзушылықтар (тыйым салынады, жол берілмейді, рұқсат берілмейді); сондай-ақ аудиттiң нәтижелерi бойынша аудиттелетiн субъектiнiң қызметiн тоқтата тұруға әкелетін фактілердің болуы; сондай-ақ расталған үш және одан да көп өтініш пен шағымның болуы;бақылаудың өзге нысандарының нәтижелері бойынша анықталған ластаушы заттардың төгінділері мен шығарындылары, сондай-ақ өндіріс пен тұтыну қалдықтарын белгіленген лимиттен тыс орналастыру; атмосфералық ауаның, жер бетінің, жер асты суларының және топырақ жамылғысының жоғары және өте жоғары ластануы, табиғат қорғау заңнамасын бірнеше рет бұзу (соңғы жылда жылына 2 рет);</w:t>
      </w:r>
    </w:p>
    <w:bookmarkEnd w:id="16"/>
    <w:bookmarkStart w:name="z20" w:id="17"/>
    <w:p>
      <w:pPr>
        <w:spacing w:after="0"/>
        <w:ind w:left="0"/>
        <w:jc w:val="both"/>
      </w:pPr>
      <w:r>
        <w:rPr>
          <w:rFonts w:ascii="Times New Roman"/>
          <w:b w:val="false"/>
          <w:i w:val="false"/>
          <w:color w:val="000000"/>
          <w:sz w:val="28"/>
        </w:rPr>
        <w:t>
      5) тәуекелді бағалау жүйесі – тексерулерді белгілеу мақсатында бақылау және қадағалау органы жүргізетін іс-шаралар кешені;</w:t>
      </w:r>
    </w:p>
    <w:bookmarkEnd w:id="17"/>
    <w:bookmarkStart w:name="z21" w:id="18"/>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өлшемшарттарі;</w:t>
      </w:r>
    </w:p>
    <w:bookmarkEnd w:id="18"/>
    <w:bookmarkStart w:name="z22" w:id="1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тексерілетін субъектінің (объектінің) қызметі нәтижелеріне байланысты тексерілетін субъектілерді (объектілерді) іріктеу үшін пайдаланылатын тәуекел дәрежесін бағалау өлшемшарттары;</w:t>
      </w:r>
    </w:p>
    <w:bookmarkEnd w:id="19"/>
    <w:bookmarkStart w:name="z23" w:id="20"/>
    <w:p>
      <w:pPr>
        <w:spacing w:after="0"/>
        <w:ind w:left="0"/>
        <w:jc w:val="both"/>
      </w:pPr>
      <w:r>
        <w:rPr>
          <w:rFonts w:ascii="Times New Roman"/>
          <w:b w:val="false"/>
          <w:i w:val="false"/>
          <w:color w:val="000000"/>
          <w:sz w:val="28"/>
        </w:rPr>
        <w:t>
      3. Ішінара тексеру жүргізу мерзімділігі жылына бір реттен аспайды.</w:t>
      </w:r>
    </w:p>
    <w:bookmarkEnd w:id="20"/>
    <w:bookmarkStart w:name="z24" w:id="21"/>
    <w:p>
      <w:pPr>
        <w:spacing w:after="0"/>
        <w:ind w:left="0"/>
        <w:jc w:val="both"/>
      </w:pPr>
      <w:r>
        <w:rPr>
          <w:rFonts w:ascii="Times New Roman"/>
          <w:b w:val="false"/>
          <w:i w:val="false"/>
          <w:color w:val="000000"/>
          <w:sz w:val="28"/>
        </w:rPr>
        <w:t>
      4. Ішінара тексерулер жүргізілетін талдау және бағалау нәтижелері бойынша жартыжылдыққа қалыптастырылатын, реттеуші мемлекеттік органның бірінші басшысымен бекітілген ішінара тексерулердің тізімдері негізінде жүргізіледі.Ішінара тексерулер тізімдері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жіберіледі.</w:t>
      </w:r>
    </w:p>
    <w:bookmarkEnd w:id="21"/>
    <w:bookmarkStart w:name="z25" w:id="22"/>
    <w:p>
      <w:pPr>
        <w:spacing w:after="0"/>
        <w:ind w:left="0"/>
        <w:jc w:val="both"/>
      </w:pPr>
      <w:r>
        <w:rPr>
          <w:rFonts w:ascii="Times New Roman"/>
          <w:b w:val="false"/>
          <w:i w:val="false"/>
          <w:color w:val="000000"/>
          <w:sz w:val="28"/>
        </w:rPr>
        <w:t>
      5. Ішінара тексерулердің тізімдері:</w:t>
      </w:r>
    </w:p>
    <w:bookmarkEnd w:id="22"/>
    <w:bookmarkStart w:name="z26" w:id="23"/>
    <w:p>
      <w:pPr>
        <w:spacing w:after="0"/>
        <w:ind w:left="0"/>
        <w:jc w:val="both"/>
      </w:pPr>
      <w:r>
        <w:rPr>
          <w:rFonts w:ascii="Times New Roman"/>
          <w:b w:val="false"/>
          <w:i w:val="false"/>
          <w:color w:val="000000"/>
          <w:sz w:val="28"/>
        </w:rPr>
        <w:t>
      1) субъективті өлшемшарттар бойынша тәуекел дәрежесініңең жоғары көрсеткіші бар тексерілетін субъектілердің (объектілердің) басымдығын;</w:t>
      </w:r>
    </w:p>
    <w:bookmarkEnd w:id="23"/>
    <w:bookmarkStart w:name="z27" w:id="24"/>
    <w:p>
      <w:pPr>
        <w:spacing w:after="0"/>
        <w:ind w:left="0"/>
        <w:jc w:val="both"/>
      </w:pP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24"/>
    <w:bookmarkStart w:name="z28" w:id="25"/>
    <w:p>
      <w:pPr>
        <w:spacing w:after="0"/>
        <w:ind w:left="0"/>
        <w:jc w:val="left"/>
      </w:pPr>
      <w:r>
        <w:rPr>
          <w:rFonts w:ascii="Times New Roman"/>
          <w:b/>
          <w:i w:val="false"/>
          <w:color w:val="000000"/>
        </w:rPr>
        <w:t xml:space="preserve"> 2-тарау. Ішінара тексерулер жүргізуге арналған тәсілдер</w:t>
      </w:r>
    </w:p>
    <w:bookmarkEnd w:id="25"/>
    <w:bookmarkStart w:name="z29" w:id="26"/>
    <w:p>
      <w:pPr>
        <w:spacing w:after="0"/>
        <w:ind w:left="0"/>
        <w:jc w:val="both"/>
      </w:pPr>
      <w:r>
        <w:rPr>
          <w:rFonts w:ascii="Times New Roman"/>
          <w:b w:val="false"/>
          <w:i w:val="false"/>
          <w:color w:val="000000"/>
          <w:sz w:val="28"/>
        </w:rPr>
        <w:t>
      6. Қоршаған ортаны қорғау, табиғи ресурстарды молықтыру және пайдалану саласындағы ішінара тексерулерге арналған тәуекел дәрежесін бағалау өлшемшарттары объективті және субъективті өлшемшарттар арқылы қалыптастырылады.</w:t>
      </w:r>
    </w:p>
    <w:bookmarkEnd w:id="26"/>
    <w:bookmarkStart w:name="z30" w:id="27"/>
    <w:p>
      <w:pPr>
        <w:spacing w:after="0"/>
        <w:ind w:left="0"/>
        <w:jc w:val="left"/>
      </w:pPr>
      <w:r>
        <w:rPr>
          <w:rFonts w:ascii="Times New Roman"/>
          <w:b/>
          <w:i w:val="false"/>
          <w:color w:val="000000"/>
        </w:rPr>
        <w:t xml:space="preserve"> 1-параграф. Объективті өлшемшарттар</w:t>
      </w:r>
    </w:p>
    <w:bookmarkEnd w:id="27"/>
    <w:bookmarkStart w:name="z31" w:id="28"/>
    <w:p>
      <w:pPr>
        <w:spacing w:after="0"/>
        <w:ind w:left="0"/>
        <w:jc w:val="both"/>
      </w:pPr>
      <w:r>
        <w:rPr>
          <w:rFonts w:ascii="Times New Roman"/>
          <w:b w:val="false"/>
          <w:i w:val="false"/>
          <w:color w:val="000000"/>
          <w:sz w:val="28"/>
        </w:rPr>
        <w:t>
      7. Бірінші кезекте табиғат пайдаланушыларды тәуекел дәрежесі бойыншатексерілетін субъектілерге (объектілерге) жатқызу тәуекел дәрежесін бағалаудың объективті өлшемшарттары негізінде іске асырылады. Тәуекелді анықтағаннан кейін тексерілетін субъектілер (объектілер) екі тәуекел дәрежесі бойынша (жоғары және жоғары дәрежеге жатпайтын) бөлінеді.</w:t>
      </w:r>
    </w:p>
    <w:bookmarkEnd w:id="28"/>
    <w:bookmarkStart w:name="z32" w:id="29"/>
    <w:p>
      <w:pPr>
        <w:spacing w:after="0"/>
        <w:ind w:left="0"/>
        <w:jc w:val="both"/>
      </w:pPr>
      <w:r>
        <w:rPr>
          <w:rFonts w:ascii="Times New Roman"/>
          <w:b w:val="false"/>
          <w:i w:val="false"/>
          <w:color w:val="000000"/>
          <w:sz w:val="28"/>
        </w:rPr>
        <w:t>
      Жоғары тәуекел дәрежесінің объективті өлшемшарттарына:</w:t>
      </w:r>
    </w:p>
    <w:bookmarkEnd w:id="29"/>
    <w:bookmarkStart w:name="z33" w:id="30"/>
    <w:p>
      <w:pPr>
        <w:spacing w:after="0"/>
        <w:ind w:left="0"/>
        <w:jc w:val="both"/>
      </w:pPr>
      <w:r>
        <w:rPr>
          <w:rFonts w:ascii="Times New Roman"/>
          <w:b w:val="false"/>
          <w:i w:val="false"/>
          <w:color w:val="000000"/>
          <w:sz w:val="28"/>
        </w:rPr>
        <w:t xml:space="preserve">
      1) Қазақстан Республикасы Экологиялық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1, 2-санаттағы шаруашылық қызмет субъектілері (объектілері);</w:t>
      </w:r>
    </w:p>
    <w:bookmarkEnd w:id="30"/>
    <w:bookmarkStart w:name="z34" w:id="31"/>
    <w:p>
      <w:pPr>
        <w:spacing w:after="0"/>
        <w:ind w:left="0"/>
        <w:jc w:val="both"/>
      </w:pPr>
      <w:r>
        <w:rPr>
          <w:rFonts w:ascii="Times New Roman"/>
          <w:b w:val="false"/>
          <w:i w:val="false"/>
          <w:color w:val="000000"/>
          <w:sz w:val="28"/>
        </w:rPr>
        <w:t xml:space="preserve">
      2) Қазақстан Республикасы Экологиялық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3, 4-санаттағы шаруашылық қызметтің келесі субъектілері (объектілері) қоршаған ортаға әсерінің сипаты және дәрежесі бойынша:</w:t>
      </w:r>
    </w:p>
    <w:bookmarkEnd w:id="31"/>
    <w:bookmarkStart w:name="z35" w:id="32"/>
    <w:p>
      <w:pPr>
        <w:spacing w:after="0"/>
        <w:ind w:left="0"/>
        <w:jc w:val="both"/>
      </w:pPr>
      <w:r>
        <w:rPr>
          <w:rFonts w:ascii="Times New Roman"/>
          <w:b w:val="false"/>
          <w:i w:val="false"/>
          <w:color w:val="000000"/>
          <w:sz w:val="28"/>
        </w:rPr>
        <w:t>
      химиялық өндіріс;</w:t>
      </w:r>
    </w:p>
    <w:bookmarkEnd w:id="32"/>
    <w:bookmarkStart w:name="z36" w:id="33"/>
    <w:p>
      <w:pPr>
        <w:spacing w:after="0"/>
        <w:ind w:left="0"/>
        <w:jc w:val="both"/>
      </w:pPr>
      <w:r>
        <w:rPr>
          <w:rFonts w:ascii="Times New Roman"/>
          <w:b w:val="false"/>
          <w:i w:val="false"/>
          <w:color w:val="000000"/>
          <w:sz w:val="28"/>
        </w:rPr>
        <w:t>
      металлургиялық, машина жасау объектілері;</w:t>
      </w:r>
    </w:p>
    <w:bookmarkEnd w:id="33"/>
    <w:bookmarkStart w:name="z37" w:id="34"/>
    <w:p>
      <w:pPr>
        <w:spacing w:after="0"/>
        <w:ind w:left="0"/>
        <w:jc w:val="both"/>
      </w:pPr>
      <w:r>
        <w:rPr>
          <w:rFonts w:ascii="Times New Roman"/>
          <w:b w:val="false"/>
          <w:i w:val="false"/>
          <w:color w:val="000000"/>
          <w:sz w:val="28"/>
        </w:rPr>
        <w:t>
      пайдалы қазбаларды барлау және өндіру бойынша объектілер;</w:t>
      </w:r>
    </w:p>
    <w:bookmarkEnd w:id="34"/>
    <w:bookmarkStart w:name="z38" w:id="35"/>
    <w:p>
      <w:pPr>
        <w:spacing w:after="0"/>
        <w:ind w:left="0"/>
        <w:jc w:val="both"/>
      </w:pPr>
      <w:r>
        <w:rPr>
          <w:rFonts w:ascii="Times New Roman"/>
          <w:b w:val="false"/>
          <w:i w:val="false"/>
          <w:color w:val="000000"/>
          <w:sz w:val="28"/>
        </w:rPr>
        <w:t>
      құрылыс өнеркәсібі (цемент және жергілікті цементті өндіру, асбест және одан жасалған бұйымдарды өндіру, шахталы, айналмалы және басқа пештерде күйдірумен магнезит, доломит және шамот өндірісін, стационарлық зауыттардағы асфальтбетон, темірбетоннан жасалған бұйымдар өндірісін, сондай-ақ құрылыс материалдарын қабылдау, сақтау және өткізу), шығарындылардың көлемі жылына 50 тоннадан асатын құрылыс саласындағы қызмет;</w:t>
      </w:r>
    </w:p>
    <w:bookmarkEnd w:id="35"/>
    <w:bookmarkStart w:name="z39" w:id="36"/>
    <w:p>
      <w:pPr>
        <w:spacing w:after="0"/>
        <w:ind w:left="0"/>
        <w:jc w:val="both"/>
      </w:pPr>
      <w:r>
        <w:rPr>
          <w:rFonts w:ascii="Times New Roman"/>
          <w:b w:val="false"/>
          <w:i w:val="false"/>
          <w:color w:val="000000"/>
          <w:sz w:val="28"/>
        </w:rPr>
        <w:t>
      микробиологиялық өнеркәсіп;</w:t>
      </w:r>
    </w:p>
    <w:bookmarkEnd w:id="36"/>
    <w:bookmarkStart w:name="z40" w:id="37"/>
    <w:p>
      <w:pPr>
        <w:spacing w:after="0"/>
        <w:ind w:left="0"/>
        <w:jc w:val="both"/>
      </w:pPr>
      <w:r>
        <w:rPr>
          <w:rFonts w:ascii="Times New Roman"/>
          <w:b w:val="false"/>
          <w:i w:val="false"/>
          <w:color w:val="000000"/>
          <w:sz w:val="28"/>
        </w:rPr>
        <w:t>
      отын жағудан шығатын электр және жылу энергиясын өндіру (отын ретінде көмір, мазут, табиғи газ пайдаланатындар);</w:t>
      </w:r>
    </w:p>
    <w:bookmarkEnd w:id="37"/>
    <w:bookmarkStart w:name="z41" w:id="38"/>
    <w:p>
      <w:pPr>
        <w:spacing w:after="0"/>
        <w:ind w:left="0"/>
        <w:jc w:val="both"/>
      </w:pPr>
      <w:r>
        <w:rPr>
          <w:rFonts w:ascii="Times New Roman"/>
          <w:b w:val="false"/>
          <w:i w:val="false"/>
          <w:color w:val="000000"/>
          <w:sz w:val="28"/>
        </w:rPr>
        <w:t>
      Парниктік газдар шығарындаларына квоталар бөлудің ұлттық жоспарына енгізілген парниктік газдарды квоталау субъектілері;</w:t>
      </w:r>
    </w:p>
    <w:bookmarkEnd w:id="38"/>
    <w:bookmarkStart w:name="z42" w:id="39"/>
    <w:p>
      <w:pPr>
        <w:spacing w:after="0"/>
        <w:ind w:left="0"/>
        <w:jc w:val="both"/>
      </w:pPr>
      <w:r>
        <w:rPr>
          <w:rFonts w:ascii="Times New Roman"/>
          <w:b w:val="false"/>
          <w:i w:val="false"/>
          <w:color w:val="000000"/>
          <w:sz w:val="28"/>
        </w:rPr>
        <w:t xml:space="preserve">
      ерекше қорғалатын табиғи аумақтардың жерi, сауықтыру және рекреациялық мақсатындағы қорғау аймағы шекарасының шегінде қызметінжүзеге асыратынсубъектілер; </w:t>
      </w:r>
    </w:p>
    <w:bookmarkEnd w:id="39"/>
    <w:bookmarkStart w:name="z43" w:id="40"/>
    <w:p>
      <w:pPr>
        <w:spacing w:after="0"/>
        <w:ind w:left="0"/>
        <w:jc w:val="both"/>
      </w:pPr>
      <w:r>
        <w:rPr>
          <w:rFonts w:ascii="Times New Roman"/>
          <w:b w:val="false"/>
          <w:i w:val="false"/>
          <w:color w:val="000000"/>
          <w:sz w:val="28"/>
        </w:rPr>
        <w:t>
      өндiрiс және тұтыну қалдықтарын қабылдау, кәдеге жарату, өңдеу, орналастыруды жүзеге асыратын субъектілер;</w:t>
      </w:r>
    </w:p>
    <w:bookmarkEnd w:id="40"/>
    <w:bookmarkStart w:name="z44" w:id="41"/>
    <w:p>
      <w:pPr>
        <w:spacing w:after="0"/>
        <w:ind w:left="0"/>
        <w:jc w:val="both"/>
      </w:pPr>
      <w:r>
        <w:rPr>
          <w:rFonts w:ascii="Times New Roman"/>
          <w:b w:val="false"/>
          <w:i w:val="false"/>
          <w:color w:val="000000"/>
          <w:sz w:val="28"/>
        </w:rPr>
        <w:t>
      коммуналдық шаруашылық субъектілері (оның ішінде, жылумен жабдықтау, сумен жабдықтау, су бөлу, коммуналдық қалдықтарды жинақтау, сақтау және өңдеу объектілері), сондай-ақ қоршаған ортаға әсер ететін стратегиялық маңызды субъектілер (су электр станциялары, жинақтағыштар, су қоймалары және басқалары);</w:t>
      </w:r>
    </w:p>
    <w:bookmarkEnd w:id="41"/>
    <w:bookmarkStart w:name="z45" w:id="42"/>
    <w:p>
      <w:pPr>
        <w:spacing w:after="0"/>
        <w:ind w:left="0"/>
        <w:jc w:val="both"/>
      </w:pPr>
      <w:r>
        <w:rPr>
          <w:rFonts w:ascii="Times New Roman"/>
          <w:b w:val="false"/>
          <w:i w:val="false"/>
          <w:color w:val="000000"/>
          <w:sz w:val="28"/>
        </w:rPr>
        <w:t>
      мұнай өнімдерін қабылдау, сақтау және өткізуді жүзеге асыратын субъектілер;</w:t>
      </w:r>
    </w:p>
    <w:bookmarkEnd w:id="42"/>
    <w:bookmarkStart w:name="z46" w:id="43"/>
    <w:p>
      <w:pPr>
        <w:spacing w:after="0"/>
        <w:ind w:left="0"/>
        <w:jc w:val="both"/>
      </w:pPr>
      <w:r>
        <w:rPr>
          <w:rFonts w:ascii="Times New Roman"/>
          <w:b w:val="false"/>
          <w:i w:val="false"/>
          <w:color w:val="000000"/>
          <w:sz w:val="28"/>
        </w:rPr>
        <w:t>
      көлік құралдарын шығаратын және көлік құралдарымен (жүк, жеңіл, теміржол, ауа, су, автобус) тасымалдау саласында қызмет ететін субъектілер жатады.</w:t>
      </w:r>
    </w:p>
    <w:bookmarkEnd w:id="43"/>
    <w:bookmarkStart w:name="z47" w:id="44"/>
    <w:p>
      <w:pPr>
        <w:spacing w:after="0"/>
        <w:ind w:left="0"/>
        <w:jc w:val="both"/>
      </w:pPr>
      <w:r>
        <w:rPr>
          <w:rFonts w:ascii="Times New Roman"/>
          <w:b w:val="false"/>
          <w:i w:val="false"/>
          <w:color w:val="000000"/>
          <w:sz w:val="28"/>
        </w:rPr>
        <w:t xml:space="preserve">
      Объективті өлшемшарттар бойынша талдау жасалғаннан кейін осы тармақтың 1), 2) тармақшаларына кірмеген субъектілер (объектілер) объективті өлшемшарттар бойынша жоғары тәуекел дәрежесіне жатпайтын субъектілерге жатқызылады. </w:t>
      </w:r>
    </w:p>
    <w:bookmarkEnd w:id="44"/>
    <w:bookmarkStart w:name="z48" w:id="45"/>
    <w:p>
      <w:pPr>
        <w:spacing w:after="0"/>
        <w:ind w:left="0"/>
        <w:jc w:val="both"/>
      </w:pPr>
      <w:r>
        <w:rPr>
          <w:rFonts w:ascii="Times New Roman"/>
          <w:b w:val="false"/>
          <w:i w:val="false"/>
          <w:color w:val="000000"/>
          <w:sz w:val="28"/>
        </w:rPr>
        <w:t>
      Жоғары тәуекел дәрежесіне жатқызылған субъектілер (объектілер) одан әрі субъективті өлшемшарттар бойынша бағалауға жатады.</w:t>
      </w:r>
    </w:p>
    <w:bookmarkEnd w:id="45"/>
    <w:bookmarkStart w:name="z49" w:id="46"/>
    <w:p>
      <w:pPr>
        <w:spacing w:after="0"/>
        <w:ind w:left="0"/>
        <w:jc w:val="left"/>
      </w:pPr>
      <w:r>
        <w:rPr>
          <w:rFonts w:ascii="Times New Roman"/>
          <w:b/>
          <w:i w:val="false"/>
          <w:color w:val="000000"/>
        </w:rPr>
        <w:t xml:space="preserve"> 2-параграф. Субъективті өлшемшарттар</w:t>
      </w:r>
    </w:p>
    <w:bookmarkEnd w:id="46"/>
    <w:bookmarkStart w:name="z50" w:id="47"/>
    <w:p>
      <w:pPr>
        <w:spacing w:after="0"/>
        <w:ind w:left="0"/>
        <w:jc w:val="both"/>
      </w:pPr>
      <w:r>
        <w:rPr>
          <w:rFonts w:ascii="Times New Roman"/>
          <w:b w:val="false"/>
          <w:i w:val="false"/>
          <w:color w:val="000000"/>
          <w:sz w:val="28"/>
        </w:rPr>
        <w:t>
      8. Субъективті өлшемшарттарды анықтау мынадай:</w:t>
      </w:r>
    </w:p>
    <w:bookmarkEnd w:id="47"/>
    <w:bookmarkStart w:name="z51" w:id="48"/>
    <w:p>
      <w:pPr>
        <w:spacing w:after="0"/>
        <w:ind w:left="0"/>
        <w:jc w:val="both"/>
      </w:pPr>
      <w:r>
        <w:rPr>
          <w:rFonts w:ascii="Times New Roman"/>
          <w:b w:val="false"/>
          <w:i w:val="false"/>
          <w:color w:val="000000"/>
          <w:sz w:val="28"/>
        </w:rPr>
        <w:t>
      1) ақпарат жинау және деректер базасын қалыптастыру;</w:t>
      </w:r>
    </w:p>
    <w:bookmarkEnd w:id="48"/>
    <w:bookmarkStart w:name="z52" w:id="49"/>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49"/>
    <w:bookmarkStart w:name="z53" w:id="50"/>
    <w:p>
      <w:pPr>
        <w:spacing w:after="0"/>
        <w:ind w:left="0"/>
        <w:jc w:val="both"/>
      </w:pPr>
      <w:r>
        <w:rPr>
          <w:rFonts w:ascii="Times New Roman"/>
          <w:b w:val="false"/>
          <w:i w:val="false"/>
          <w:color w:val="000000"/>
          <w:sz w:val="28"/>
        </w:rPr>
        <w:t>
      9. Деректер базасын қалыптастыру мақсатында ақпарат жинау заңнаманы бұзатын тексерілетін субъектілерді (объектілерді) анықтау үшін жүргізіледі және мынадай ақпарат көздерінен:</w:t>
      </w:r>
    </w:p>
    <w:bookmarkEnd w:id="50"/>
    <w:bookmarkStart w:name="z54" w:id="51"/>
    <w:p>
      <w:pPr>
        <w:spacing w:after="0"/>
        <w:ind w:left="0"/>
        <w:jc w:val="both"/>
      </w:pPr>
      <w:r>
        <w:rPr>
          <w:rFonts w:ascii="Times New Roman"/>
          <w:b w:val="false"/>
          <w:i w:val="false"/>
          <w:color w:val="000000"/>
          <w:sz w:val="28"/>
        </w:rPr>
        <w:t>
      1) тексерілетін субъектілермен (объектілермен) ұсынылатын есептілікті мониторингілеу нәтижелері;</w:t>
      </w:r>
    </w:p>
    <w:bookmarkEnd w:id="51"/>
    <w:bookmarkStart w:name="z55" w:id="52"/>
    <w:p>
      <w:pPr>
        <w:spacing w:after="0"/>
        <w:ind w:left="0"/>
        <w:jc w:val="both"/>
      </w:pPr>
      <w:r>
        <w:rPr>
          <w:rFonts w:ascii="Times New Roman"/>
          <w:b w:val="false"/>
          <w:i w:val="false"/>
          <w:color w:val="000000"/>
          <w:sz w:val="28"/>
        </w:rPr>
        <w:t>
      2) бұрынғы тексерулер нәтижелерінен жүзеге асырылатын болады. Бұл ретте, бұзушылықтың ауыртпалық дәрежесі (өрескел, елеулі, болмашы) тексеру парағында көрсетілген заңнама талаптарын сақтамау жағдайында белгіленеді;</w:t>
      </w:r>
    </w:p>
    <w:bookmarkEnd w:id="52"/>
    <w:bookmarkStart w:name="z56" w:id="53"/>
    <w:p>
      <w:pPr>
        <w:spacing w:after="0"/>
        <w:ind w:left="0"/>
        <w:jc w:val="both"/>
      </w:pPr>
      <w:r>
        <w:rPr>
          <w:rFonts w:ascii="Times New Roman"/>
          <w:b w:val="false"/>
          <w:i w:val="false"/>
          <w:color w:val="000000"/>
          <w:sz w:val="28"/>
        </w:rPr>
        <w:t>
      3) жеке және заңды тұлғалардан келіп түскен расталған өтініш пен шағымдардың болуы және олардың саны;</w:t>
      </w:r>
    </w:p>
    <w:bookmarkEnd w:id="53"/>
    <w:bookmarkStart w:name="z57" w:id="54"/>
    <w:p>
      <w:pPr>
        <w:spacing w:after="0"/>
        <w:ind w:left="0"/>
        <w:jc w:val="both"/>
      </w:pPr>
      <w:r>
        <w:rPr>
          <w:rFonts w:ascii="Times New Roman"/>
          <w:b w:val="false"/>
          <w:i w:val="false"/>
          <w:color w:val="000000"/>
          <w:sz w:val="28"/>
        </w:rPr>
        <w:t>
      4) жүргізілген экологиялық аудит нәтижелері.</w:t>
      </w:r>
    </w:p>
    <w:bookmarkEnd w:id="54"/>
    <w:bookmarkStart w:name="z58" w:id="55"/>
    <w:p>
      <w:pPr>
        <w:spacing w:after="0"/>
        <w:ind w:left="0"/>
        <w:jc w:val="both"/>
      </w:pPr>
      <w:r>
        <w:rPr>
          <w:rFonts w:ascii="Times New Roman"/>
          <w:b w:val="false"/>
          <w:i w:val="false"/>
          <w:color w:val="000000"/>
          <w:sz w:val="28"/>
        </w:rPr>
        <w:t>
      5) бақылаудың өзге нысандарының нәтижелері;</w:t>
      </w:r>
    </w:p>
    <w:bookmarkEnd w:id="55"/>
    <w:bookmarkStart w:name="z59" w:id="56"/>
    <w:p>
      <w:pPr>
        <w:spacing w:after="0"/>
        <w:ind w:left="0"/>
        <w:jc w:val="both"/>
      </w:pPr>
      <w:r>
        <w:rPr>
          <w:rFonts w:ascii="Times New Roman"/>
          <w:b w:val="false"/>
          <w:i w:val="false"/>
          <w:color w:val="000000"/>
          <w:sz w:val="28"/>
        </w:rPr>
        <w:t>
      6) уәкілетті органдармен және ұйымдармен ұсынылатын мәліметтер талдауының нәтижелері.</w:t>
      </w:r>
    </w:p>
    <w:bookmarkEnd w:id="56"/>
    <w:bookmarkStart w:name="z60" w:id="57"/>
    <w:p>
      <w:pPr>
        <w:spacing w:after="0"/>
        <w:ind w:left="0"/>
        <w:jc w:val="both"/>
      </w:pPr>
      <w:r>
        <w:rPr>
          <w:rFonts w:ascii="Times New Roman"/>
          <w:b w:val="false"/>
          <w:i w:val="false"/>
          <w:color w:val="000000"/>
          <w:sz w:val="28"/>
        </w:rPr>
        <w:t>
      10. Қолда бар ақпарат көздерінің негізінде тәуекел дәрежесін бағалау өлшемшарттары үш бұзушылыққа бөлінеді: өрескел, елеулі, болмашы.</w:t>
      </w:r>
    </w:p>
    <w:bookmarkEnd w:id="57"/>
    <w:bookmarkStart w:name="z61" w:id="58"/>
    <w:p>
      <w:pPr>
        <w:spacing w:after="0"/>
        <w:ind w:left="0"/>
        <w:jc w:val="both"/>
      </w:pPr>
      <w:r>
        <w:rPr>
          <w:rFonts w:ascii="Times New Roman"/>
          <w:b w:val="false"/>
          <w:i w:val="false"/>
          <w:color w:val="000000"/>
          <w:sz w:val="28"/>
        </w:rPr>
        <w:t>
      Тексерілетін субъектіні тәуекел дәрежесіне жатқызу үшін тәуекел дәрежесінің көрсеткішін есептеудің келесі тәртібі қолданылады.</w:t>
      </w:r>
    </w:p>
    <w:bookmarkEnd w:id="58"/>
    <w:bookmarkStart w:name="z62" w:id="59"/>
    <w:p>
      <w:pPr>
        <w:spacing w:after="0"/>
        <w:ind w:left="0"/>
        <w:jc w:val="both"/>
      </w:pPr>
      <w:r>
        <w:rPr>
          <w:rFonts w:ascii="Times New Roman"/>
          <w:b w:val="false"/>
          <w:i w:val="false"/>
          <w:color w:val="000000"/>
          <w:sz w:val="28"/>
        </w:rPr>
        <w:t xml:space="preserve">
      Бір өрескел бұзушылық анықталған кездетексерілетін субъектіге тәуекел дәрежесінің 100 көрсеткіші белгіленеді және оған қатысты ішінара тексеру жүргізіледі. </w:t>
      </w:r>
    </w:p>
    <w:bookmarkEnd w:id="59"/>
    <w:bookmarkStart w:name="z63" w:id="60"/>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болмашы дәрежедегі бұзушылықтар көрсеткіштерінің қосынды мәні есептеледі.</w:t>
      </w:r>
    </w:p>
    <w:bookmarkEnd w:id="60"/>
    <w:bookmarkStart w:name="z64" w:id="61"/>
    <w:p>
      <w:pPr>
        <w:spacing w:after="0"/>
        <w:ind w:left="0"/>
        <w:jc w:val="both"/>
      </w:pPr>
      <w:r>
        <w:rPr>
          <w:rFonts w:ascii="Times New Roman"/>
          <w:b w:val="false"/>
          <w:i w:val="false"/>
          <w:color w:val="000000"/>
          <w:sz w:val="28"/>
        </w:rPr>
        <w:t>
      Елеулі дәрежедегі бұзушылықтар көрсеткішін анықтау кезінде0,7 коэффициенті қолданылады және бұл көрсеткіш келесі формула бойынша есептеледі:</w:t>
      </w:r>
    </w:p>
    <w:bookmarkEnd w:id="61"/>
    <w:bookmarkStart w:name="z65"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bookmarkEnd w:id="62"/>
    <w:bookmarkStart w:name="z66" w:id="63"/>
    <w:p>
      <w:pPr>
        <w:spacing w:after="0"/>
        <w:ind w:left="0"/>
        <w:jc w:val="both"/>
      </w:pPr>
      <w:r>
        <w:rPr>
          <w:rFonts w:ascii="Times New Roman"/>
          <w:b w:val="false"/>
          <w:i w:val="false"/>
          <w:color w:val="000000"/>
          <w:sz w:val="28"/>
        </w:rPr>
        <w:t>
      мұндағы:</w:t>
      </w:r>
    </w:p>
    <w:bookmarkEnd w:id="63"/>
    <w:bookmarkStart w:name="z6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елеулі дәрежедегі бұзушылықтар көрсеткіші;</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–елеулі дәрежедегі бұзушылықтардың жалпы саны;</w:t>
      </w:r>
    </w:p>
    <w:bookmarkEnd w:id="65"/>
    <w:bookmarkStart w:name="z69"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анықталған елеулі бұзушылықтардың саны.</w:t>
      </w:r>
    </w:p>
    <w:bookmarkEnd w:id="66"/>
    <w:bookmarkStart w:name="z70" w:id="67"/>
    <w:p>
      <w:pPr>
        <w:spacing w:after="0"/>
        <w:ind w:left="0"/>
        <w:jc w:val="both"/>
      </w:pPr>
      <w:r>
        <w:rPr>
          <w:rFonts w:ascii="Times New Roman"/>
          <w:b w:val="false"/>
          <w:i w:val="false"/>
          <w:color w:val="000000"/>
          <w:sz w:val="28"/>
        </w:rPr>
        <w:t>
      Болмашы дәрежедегі бұзушылықтар көрсеткішін анықтау кезінде 0,3 коэффициенті қолданылады және бұл көрсеткіш келесі формула бойынша есептеледі:</w:t>
      </w:r>
    </w:p>
    <w:bookmarkEnd w:id="67"/>
    <w:bookmarkStart w:name="z71"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bookmarkEnd w:id="68"/>
    <w:bookmarkStart w:name="z72" w:id="69"/>
    <w:p>
      <w:pPr>
        <w:spacing w:after="0"/>
        <w:ind w:left="0"/>
        <w:jc w:val="both"/>
      </w:pPr>
      <w:r>
        <w:rPr>
          <w:rFonts w:ascii="Times New Roman"/>
          <w:b w:val="false"/>
          <w:i w:val="false"/>
          <w:color w:val="000000"/>
          <w:sz w:val="28"/>
        </w:rPr>
        <w:t>
      мұндағы:</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болмашы дәрежедегі бұзушылықтар көрсеткіші;</w:t>
      </w:r>
    </w:p>
    <w:bookmarkEnd w:id="70"/>
    <w:bookmarkStart w:name="z74"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Р1–болмашы дәрежедегі бұзушылықтардың жалпы саны;</w:t>
      </w:r>
    </w:p>
    <w:bookmarkEnd w:id="71"/>
    <w:bookmarkStart w:name="z75"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анықталған болмашы бұзушылықтардың саны.</w:t>
      </w:r>
    </w:p>
    <w:bookmarkEnd w:id="72"/>
    <w:bookmarkStart w:name="z76" w:id="73"/>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көрсеткіштерді қосу арқылы келесі формула бойынша анықталады:</w:t>
      </w:r>
    </w:p>
    <w:bookmarkEnd w:id="73"/>
    <w:bookmarkStart w:name="z77"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bookmarkEnd w:id="74"/>
    <w:bookmarkStart w:name="z78" w:id="75"/>
    <w:p>
      <w:pPr>
        <w:spacing w:after="0"/>
        <w:ind w:left="0"/>
        <w:jc w:val="both"/>
      </w:pPr>
      <w:r>
        <w:rPr>
          <w:rFonts w:ascii="Times New Roman"/>
          <w:b w:val="false"/>
          <w:i w:val="false"/>
          <w:color w:val="000000"/>
          <w:sz w:val="28"/>
        </w:rPr>
        <w:t>
      мұндағы:</w:t>
      </w:r>
    </w:p>
    <w:bookmarkEnd w:id="75"/>
    <w:bookmarkStart w:name="z79"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Р–тәуекел дәрежесінің жалпы көрсеткіші;</w:t>
      </w:r>
    </w:p>
    <w:bookmarkEnd w:id="76"/>
    <w:bookmarkStart w:name="z80"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елеулі дәрежедегі бұзушылықтар көрсеткіші;</w:t>
      </w:r>
    </w:p>
    <w:bookmarkEnd w:id="77"/>
    <w:bookmarkStart w:name="z8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болмашы дәрежедегі бұзушылықтар көрсеткіші.</w:t>
      </w:r>
    </w:p>
    <w:bookmarkEnd w:id="78"/>
    <w:bookmarkStart w:name="z82" w:id="79"/>
    <w:p>
      <w:pPr>
        <w:spacing w:after="0"/>
        <w:ind w:left="0"/>
        <w:jc w:val="both"/>
      </w:pPr>
      <w:r>
        <w:rPr>
          <w:rFonts w:ascii="Times New Roman"/>
          <w:b w:val="false"/>
          <w:i w:val="false"/>
          <w:color w:val="000000"/>
          <w:sz w:val="28"/>
        </w:rPr>
        <w:t xml:space="preserve">
      Тәуекел дәрежесін бағалаудың субъективті өлшемшарттары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9"/>
    <w:bookmarkStart w:name="z83" w:id="80"/>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 мыналарға жатқызылады:</w:t>
      </w:r>
    </w:p>
    <w:bookmarkEnd w:id="80"/>
    <w:bookmarkStart w:name="z84" w:id="81"/>
    <w:p>
      <w:pPr>
        <w:spacing w:after="0"/>
        <w:ind w:left="0"/>
        <w:jc w:val="both"/>
      </w:pPr>
      <w:r>
        <w:rPr>
          <w:rFonts w:ascii="Times New Roman"/>
          <w:b w:val="false"/>
          <w:i w:val="false"/>
          <w:color w:val="000000"/>
          <w:sz w:val="28"/>
        </w:rPr>
        <w:t>
      1) жоғары тәуекел дәрежесі – 60-тан 100-ге дейінгі тәуекел дәрежесінің көрсеткіші кезінде және оған қатысты ішінара тексеру жүргізіледі;</w:t>
      </w:r>
    </w:p>
    <w:bookmarkEnd w:id="81"/>
    <w:bookmarkStart w:name="z85" w:id="82"/>
    <w:p>
      <w:pPr>
        <w:spacing w:after="0"/>
        <w:ind w:left="0"/>
        <w:jc w:val="both"/>
      </w:pP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ішінара тексеру жүргізілмейді.</w:t>
      </w:r>
    </w:p>
    <w:bookmarkEnd w:id="82"/>
    <w:bookmarkStart w:name="z86" w:id="83"/>
    <w:p>
      <w:pPr>
        <w:spacing w:after="0"/>
        <w:ind w:left="0"/>
        <w:jc w:val="both"/>
      </w:pPr>
      <w:r>
        <w:rPr>
          <w:rFonts w:ascii="Times New Roman"/>
          <w:b w:val="false"/>
          <w:i w:val="false"/>
          <w:color w:val="000000"/>
          <w:sz w:val="28"/>
        </w:rPr>
        <w:t>
      11. Талдау мен бағалау кезінде нақты тексерілетін субъектіге (объектіге) қатысты бұрын ескерілген және пайдаланылған субъективті өлшемшарттардың деректері қолданылмайды.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табиғи</w:t>
            </w:r>
            <w:r>
              <w:br/>
            </w:r>
            <w:r>
              <w:rPr>
                <w:rFonts w:ascii="Times New Roman"/>
                <w:b w:val="false"/>
                <w:i w:val="false"/>
                <w:color w:val="000000"/>
                <w:sz w:val="20"/>
              </w:rPr>
              <w:t>ресурстарды молықтыру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критерийлеріне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0744"/>
        <w:gridCol w:w="332"/>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есептілікті мониторингілеу нәтижелері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белгіленген есептілікті ұсынбау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дұрыс емес есептілікті тапсыру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белгіленген мерзімдерді бұза отырып, есептілікті тапсыру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есеп</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есепке алу, кәдеге жарату және залалсыздандыру ережелерін бұзу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экологиялық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сапасының нормативтерін сақтауын қамтамасыз ететін қауіпті қалдықтарды, шығарындыларды, төгінділерді тазарту, залалсыздандыру және кәдеге жарату бойынша қондырғылар мен жабдықтарсыз кәсіпорындарды, имараттарды және басқа объектілерді пайдалануға тыйым салынады.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рұқсаттың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рұқсатында көрсетілген табиғат пайдалану шарттарын орындамау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объектiде өндiрiстiк экологиялық бақылауды ұйымдастыруға, жүргiзуге және бақылаушы органдармен өзара iс-қимыл жасауға жауап беретiн арнайы бөлiмше немесе тағайындалған қызметкердiң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 әзірлемей, сондай-ақ оны жүзеге асырусыз және растайтын құжаттарсыз өндірістік экологиялық бақылауды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Анықталғансәттен бастап екі сағаттың ішінде қоршаған ортаны ластауымен авария болғаны туралы, сонымен қатарүш жұмыс күні ішінде өндiрiстiк экологиялық бақылау жүргiзу процесiнде анықталған Қазақстан Республикасының экологиялық заңнамасын бұзу фактiлерi туралы қоршаған ортаны қорғау саласындағы уәкiлеттi органғахабарламау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немесе Қазақстан Республикасының техникалық реттеу туралы заңнамасында белгiленген тәртiппен аккредиттелген өндiрiстiк немесе тәуелсiз зертханалармен шарттың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және өзге де қызметтiң экологиялық қауiптi түрлерiн жүзеге асыратын тұлғалар үшін "Мiндеттi экологиялық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мiндеттi экологиялық сақтандырушартының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терiс әсерiн тигiзетiн автомобиль және өзге де көлiк құралдары үшін белгіленгеншекті жол берiлетiн шығарындылар нормативтерiн сақтамау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кемшiлiктердi жоюдың мерзiмдерiн көрсетiп, экологиялық қауiпсiздiктiң жай-күйiн жазатын тексеру журналдарының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пайдаланушыда Қазақстан Республикасы экологиялық заңнамасының бұзылуының, дүлей зiлзалалар мен табиғи катаклизмдердiң нәтижесiнде туындаған авариялық жағдайларды жою немесе оқшаулау жөнiндегi iс-қимылдар жоспарының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нәтижесінде анықталған бұзушылықтарды жою жөніндегі ұйғарымдарды орындамау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объектілері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ететін жоспарланатын қызметіне жоба алды және жобалық құжаттарына, сатыларға сәйкес қоршаған ортаға әсерін бағалау ілеспе материалдарымен,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нормативтері жобасына мемлекеттік экологиялық сараптама 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қоршаған ортаға терiс әсерлерге әкеп соғуы мүмкiн Қазақстан Республикасы нормативтiк құқықтық актiлерге, нормативтік-техникалық және нұсқаулық-әдістемелік құжаттарға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жобаларына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 мен жануарлар дүниесi ресурстарын алу мен пайдалануға арналған биологиялық негiздемелерінемемлекеттік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жобаларына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аумақтарды экологиялық зілзала немесе төтенше экологиялық жағдай аймақтарына жатқызуды негiздейтiн аумақтарды зерттеу материалдарына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қызметжобаларына мемлекеттік экологиялық сараптамақорытындысының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пайдалану кезiндегi экологиялық талаптар</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 қоқыстануы, тозуы және құнарлылығының төмендеуі,сондай-ақ топырақтың құнарлы қабатын алу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операцияларды жүргiзу кезiндегi экологиялық талаптар</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заттардың табиғи объектiлерге көшуiн болғызбау үшiн технологиялық алаңдарды гидрологиялық оқшаулай отырып, жер қойнауын пайдаланудың қалдықтарын ұйымдасқан түрде жинау мен сақтаудың инженерлiк жүйесiніңболмауы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 ерекше қорғалатын табиғи аумақтарда салынған жағдайларда, ұрасыз технологияның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операциялар кезiнде шламдарды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 жөнiндегi жұмыстарды белгiленген талаптарға сәйкес жүргiзбеу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жер асты суы объектiлерiнiң жай-күйiне зиянды әсер ететiн немесе зиянды әсер етуi мүмкiн шаруашылық субъектілерінің су объектiлерiнiң ластануын және тартылуын болғызбайтын шараларын қабылдамауы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шығарылған суды сiңiрме ұңғымаларға айдау жүргiзiлетiн ауданда жақын жердегi ұңғымалардағы, бұлақтардағы, құдықтардағы судың сапасына қоршаған ортаны қорғау, су қорын пайдалану және қорғау саласындағы уәкiлеттi мемлекеттiк органдармен және халықтың санитарлық-эпидемиологиялық салауаттылығы саласындағы мемлекеттiк органмен келiсiлген жоспар бойынша су пайдаланушылардың күшiмен жүйелi зертханалық байқаулар ұйымдастырылуға тиiс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барлау және (немесе) шығару кезiндегi экологиялық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заңнамасында көзделген талаптардыорындау бөлігіндежер асты суларының кен орындарын барлау мен игеру келiсiмшартының шарттарын сақтамау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барлау және (немесе) оны шығару жұмыстарын жүргiзген кезде кешендi қалпына келтiру жұмыстарын жүргiзбеу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астының ашылған су тұтқыш жиектерiнің ластануын болғызбайтындай сенiмдi оқшаулаумен қамтамасыз етпеу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 пайдалану кезiндегi экологиялық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объектiлерiнiң жай-күйiне әсер ететiн кәсiпорындар мен басқа да құрылыстарды қоршаған ортаны қорғаудың, жер қойнауын қорғаудың, су ресурстарын молайту мен ұтымды пайдаланудың талаптары мен ережелерiн сақтай отырып, сондай-ақ аталған объектiлер қызметiнiң экологиялық салдарларын ескере отырып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ағызып жiберу кезiндегi экологиялық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сарқынды су жинақтауыштардың қоршаған ортаға әсерін тигізбеу бойынша, осы жинақтауыштар алып жатқан жерлерді, пайдалануды тоқтатқаннан кейін құнарландыру бойынша шара қолданбауы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 минералға қаныққан, ауызсу, бальнеологиялық, техникалық қажеттіліктер үшін, сондай-ақ ирригация және мал шаруашылығы мақсатында пайдаланылмайтын немесе пайдалануға болмайтын, жерасты сутұтқыш белдеулерге сарқынды суларды айдауды қоспағанда, нормативті көрсеткіштерге дейін тазартылмаған суларды төгу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олардың тазалану деңгейiне қарамастан,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пайдаланушылардың су көлемін есептеу және су тұтыну мен су бөлу аспаптарын  пайдаланбауы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шаруашылық және өзге де қызметті жүзеге асыру кезіндегі экологиялық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тартылмайтын және жер қойнауына айдалмайтын бұрғылау қалдықтарын (шламдар мен қоспаларды) залалсыздандыру мен сақтау жөніндегі операцияларды жүзеге асыру үшін Каспий теңізінің солтүстік бөлігіндегі мемлекеттік қорық аймағынан тысқары жерде арнайы полигонның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платформасында (барждаа) және оған қызмет ететін кемелерде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қондырғылардың болмауы. Қоқысты жинау немесе өңдеу (ұнтақтау немесе сығымдау) үшін тиісті құрылғылардың болмауы. Мемлекеттік экологиялық сараптаманы жасамай медициналық және тамақ қалдықтарын бұрғылау платформаларына (баржалар) инсинерациялау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қондырғыларында Халықаралық теңіз ұйымының тұншықтыратын газ шығарындыларының шекті мәндері жөніндегі талаптарына сай келетін іштен жану двигательдерінің болмауы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абсорбенттердің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Теңіздегі өндірістік (бұрғылау, өндіру, пайдалану) объектілерде және оларға қызмет көрсететін кемелерде сарқынды суларды тазарту мен залалсыздандыруға немесе сарқынды суларды жинауға, сақтауға және кейіннен арнаулы кемелерге немесе жағалаудағы қабылдау құрылғыларына беруге арналған қондырғының болмауы. </w:t>
            </w:r>
            <w:r>
              <w:br/>
            </w:r>
            <w:r>
              <w:rPr>
                <w:rFonts w:ascii="Times New Roman"/>
                <w:b w:val="false"/>
                <w:i w:val="false"/>
                <w:color w:val="000000"/>
                <w:sz w:val="20"/>
              </w:rPr>
              <w:t>
Қоқысты жинау немесе өңдеу (ұнтақтау немесе сығымдау) үшін тиісті құрылғының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барлау мен өндіру кезіндегі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асырылуға тиіс.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жүргізу кезінде авариялық төгілулердің алдын алу, шектеу және оларды жою жөніндегі іс-шаралардың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жүзуіне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отынды жабық алып жүру жүйелерімен, ластанған сулар мен тұрмыстық қоқыстарды жинайтын ыдыстармен, ашық су айдынына төгінділер мен шығарындыларға мүмкіндік бермейтін құрылғылармен жабдықтау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үшін олардың қоршаған ортаға жайылуын болдырмайтын жабық контейнерлердің және арнаулы ыдыстардың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 май материалдарының төгілуі мен ағып кетуін болдырмайтын жүйелердің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кеме палубаларының мұнай өнімдерімен ластануына, су айдындарына ластанған сарқынды сулардың ағуына жол бермейтін жабдықпен жарақтау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аймағындағы қоршаған ортаның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(мұзбен жабылған теңіз акваториясында қысқы кезеңдегі мониторингті қоспағанда,төрт климаттық маусым бойынша) барлық келісімшарт аумағы бойынша қоршаған ортаға өндірістік мониторинг жүргізбеу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 салдарының мониторингі кідіріссіз ұйымдастырылады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қалдықтарымен жұмыс істеу кезіндегі жалпы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қызметі процесінде қалдықтар түзілетін жеке және заңды тұлғалар олармен қауіпсіз жұмыс істеу шараларын көздеуге, экологиялық және санитариялық-эпидемиологиялық талаптарды сақтауға және оларды кәдеге жарату, қайта өңдеу, залалсыздандыру және қауіпсіз жою жөніндегі іс-шараларды орындауға міндетті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шешімдерімен айқындалмаған орындардақалдықтарды орналастыру мен жою</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арналған қалдықтарды уақытша сақтау орындарының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санаттағы табиғат пайдаланушы бекіткен қалдықтарды басқару бағдарламасының болмауы;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тұлғаларда қоршаған ортаны қорғау саласындағы уәкілетті органымен бекітілген қалдықтарды басқару бағдарламасының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қасиеттерін көрсете отырып, қауіпті қалдықтардың бумасында таңбалаудың болмауы.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хабарлайды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иесінде учаскеде қабылданған қалдық тобының алынғанын жазбаша растауының болмауы және құжаттаманы бес жыл бойы сақтамауы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белгілерінің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жинауды, кәдеге жаратуды, тасымалдауды және орналастыруды жүзеге асыратын кәсіпорындардың төтенше және авариялық жағдайлар кезінде іс-қимылдар жоспарларының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сақтау пункттерінде жойылуы қиын органикалық ластауыштардың қоршаған ортаға және халықтың денсаулығына әсерін болғызбауды қамтамасыз ететін қорғаныс құралдарының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кейіннен кәдеге жарату, өңдеу немесе түпкілікті көму мақсатында әрбір қалдық түрлері үшін белгіленген кезеңге арнайы жабдықталған жерлердің (алаңдарда, көмбелерде, қоймаларда)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үшін арнайы жабдықталған полигондардың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жүйесінің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шаралардың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меншік иесінде полигон жабылғаннан кейін жерлерді рекультивациялау жөніндегі іс-шаралары және қоршаған ортаға әсердің мониторингін жүргізу үшін тарату қорының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 бекітетін және қоршаған ортаны қорғау саласында уәкілетті органымен келісілген, көмуге қабылданатын қалдықтарды қабылдау және сыныптау рәсімдерін растайтын құжаттардың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бақылауды, мониторингті және (немесе) талдауды жүргізуге меншікті аккредиттелген зертханалардың немесе аккредиттелген зертханалармен шарттың болмауы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полигонының әрбір секциясы үшін газ мониторингін жүргізбеу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(полигонның бөлігі) жабылғаннан кейін полигонның иесі аумақты рекультивациялауды жүзеге асырмауы және 1-сыныптағы полигондар үшін – отыз жыл бойы, 2-сынып полигондары үшін жиырма жыл бойы қоқыс газдың және сүзінді судың шығарындыларына мониторинг жүргізбеуі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жерлерде рекультивациялау жөнінде жұмыстарды жүргізбеу;</w:t>
            </w:r>
            <w:r>
              <w:br/>
            </w:r>
            <w:r>
              <w:rPr>
                <w:rFonts w:ascii="Times New Roman"/>
                <w:b w:val="false"/>
                <w:i w:val="false"/>
                <w:color w:val="000000"/>
                <w:sz w:val="20"/>
              </w:rPr>
              <w:t>
Қалдықтарды орналастыру объектілерін пайдалану аяқталғаннан кейін олардың қоршаған ортаға әсерін бақылауды өткізбеуі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етуге міндетті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 және (немесе) көму пункттеріне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 саласындағы мемлекеттік реттеу</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экономиканың мұнай-газ, электр энергетика, тау-кен металлургиясы, химия салаларында, құрылыс материалдарын өндіру бөлігінде: цемент, әк, гипс және кірпіш саласында парниктік газдар шығарындыларын жылына көміртегі қостотығының жиырма мың тоннасына тең келетін мөлшерден асатын парниктік газдар шығарындыларына квоталар алмай қызметті жүзеге асыруына жол берілмейді.</w:t>
            </w:r>
            <w:r>
              <w:br/>
            </w:r>
            <w:r>
              <w:rPr>
                <w:rFonts w:ascii="Times New Roman"/>
                <w:b w:val="false"/>
                <w:i w:val="false"/>
                <w:color w:val="000000"/>
                <w:sz w:val="20"/>
              </w:rPr>
              <w:t>
Тиісті кезеңдегі парниктік газдар шығарындыларына сертификатта белгіленген квотадан асып түсуге жол берілмейді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және озонды бұзатын заттардың шығарындыларына жол берілетін шаруашылық және өзге де қызметке қойылатын жалпы талаптар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органмен берілетін озонды бұзатын заттарды пайдалана отырып жұмыстар жүргізу, құрамында озонды бұзатын заттар бар жабдықты жөндеу, монтаждау, оған қызмет көрсету жұмыстарын жүргізуге рұқсаттың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шағымдармен арыздардың болуы және саны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Бірсипаттыемесрасталғанүшжәнеодандакөпөтінішпеншағымныңболуы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сипатты емес расталған екі өтініш пен шағымның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бір өтініш немесе шағымның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міндетті экологиялық аудит нәтижелері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аудиттiң есебiн қараудың нәтижелерi бойынша қоршаған ортаны қорғау саласындағы уәкiлеттi органға аудиттелетiн субъектiнiң қызметiн тоқтата тұру туралы талап қою арқылы сотқа жүгiнуге мүмкіндік беретін фактілердің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аудиттiң есебiн қараудың нәтижелерi бойынша қоршаған ортаны қорғау саласындағы уәкiлеттi органға экологиялық рұқсат талаптарына өзгерiстер енгiзуге немесе табиғи ресурстарды пайдалану және алып қою, қоршаған ортаға эмиссияларға рұқсат шарттарының (келiсiмшарттардың) және табиғат пайдалануға өзге де рұқсаттардың талаптарын өзгерту туралы ұсыныспен арнайы уәкiлеттi мемлекеттiк органдарға жүгiнуге мүмкіндік беретін фактілердің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аудиттiң есебiн қараудың нәтижелерi бойынша қоршаған ортаны қорғау саласындағы уәкiлеттi органға өндiрiстiк экологиялық бақылау бағдарламасына өзгерiстер енгiзу ұсынымдарын беруге мүмкіндік беретін фактілердің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 бақылаулардың қортындылары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құрамына кіретін зертхана жүргізетін аналитикалық бақылау нәтижелерімен анықталған санитарлық-қорғаныш аймағынан тыс табиғат пайдаланушылардың қоршаған орта сапасының нормативтерін сақтамауы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Мекемелерден және уәкілетті органдардан келіп түскен мәліметтерінің анализі қорытындысы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жер үсті, жер асты сулардың, топырақ жамылғысының жоғарғы және экстремалды жоғарғы ластануы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оқиғалардың, авария және өрттің болуы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 бұзушылығын қайта жіберу (заңнама нормаларын соңғы жылда 2 рет қайталап бұзу)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желтоқсан</w:t>
            </w:r>
            <w:r>
              <w:br/>
            </w:r>
            <w:r>
              <w:rPr>
                <w:rFonts w:ascii="Times New Roman"/>
                <w:b w:val="false"/>
                <w:i w:val="false"/>
                <w:color w:val="000000"/>
                <w:sz w:val="20"/>
              </w:rPr>
              <w:t>№ 419 және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министрінің 2017 жылғы 12 желтоқсан</w:t>
            </w:r>
            <w:r>
              <w:br/>
            </w:r>
            <w:r>
              <w:rPr>
                <w:rFonts w:ascii="Times New Roman"/>
                <w:b w:val="false"/>
                <w:i w:val="false"/>
                <w:color w:val="000000"/>
                <w:sz w:val="20"/>
              </w:rPr>
              <w:t>№ 448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 2015</w:t>
            </w:r>
            <w:r>
              <w:br/>
            </w:r>
            <w:r>
              <w:rPr>
                <w:rFonts w:ascii="Times New Roman"/>
                <w:b w:val="false"/>
                <w:i w:val="false"/>
                <w:color w:val="000000"/>
                <w:sz w:val="20"/>
              </w:rPr>
              <w:t>жылғы 30 желтоқсандағы</w:t>
            </w:r>
            <w:r>
              <w:br/>
            </w:r>
            <w:r>
              <w:rPr>
                <w:rFonts w:ascii="Times New Roman"/>
                <w:b w:val="false"/>
                <w:i w:val="false"/>
                <w:color w:val="000000"/>
                <w:sz w:val="20"/>
              </w:rPr>
              <w:t>№ 835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2-қосымша</w:t>
            </w:r>
          </w:p>
        </w:tc>
      </w:tr>
    </w:tbl>
    <w:bookmarkStart w:name="z89" w:id="84"/>
    <w:p>
      <w:pPr>
        <w:spacing w:after="0"/>
        <w:ind w:left="0"/>
        <w:jc w:val="left"/>
      </w:pPr>
      <w:r>
        <w:rPr>
          <w:rFonts w:ascii="Times New Roman"/>
          <w:b/>
          <w:i w:val="false"/>
          <w:color w:val="000000"/>
        </w:rPr>
        <w:t xml:space="preserve"> Қоршаған ортаны қорғау, табиғи ресурстарды молықтыру және</w:t>
      </w:r>
      <w:r>
        <w:br/>
      </w:r>
      <w:r>
        <w:rPr>
          <w:rFonts w:ascii="Times New Roman"/>
          <w:b/>
          <w:i w:val="false"/>
          <w:color w:val="000000"/>
        </w:rPr>
        <w:t>пайдалану саласындағы тексеру парағы</w:t>
      </w:r>
    </w:p>
    <w:bookmarkEnd w:id="84"/>
    <w:p>
      <w:pPr>
        <w:spacing w:after="0"/>
        <w:ind w:left="0"/>
        <w:jc w:val="both"/>
      </w:pPr>
      <w:r>
        <w:rPr>
          <w:rFonts w:ascii="Times New Roman"/>
          <w:b w:val="false"/>
          <w:i w:val="false"/>
          <w:color w:val="000000"/>
          <w:sz w:val="28"/>
        </w:rPr>
        <w:t>
      _______________________________________________________________________ қатысты</w:t>
      </w:r>
      <w:r>
        <w:br/>
      </w:r>
      <w:r>
        <w:rPr>
          <w:rFonts w:ascii="Times New Roman"/>
          <w:b w:val="false"/>
          <w:i w:val="false"/>
          <w:color w:val="000000"/>
          <w:sz w:val="28"/>
        </w:rPr>
        <w:t>
      (тексерілетін субъектілердің біртекті тобының атауы)</w:t>
      </w:r>
      <w:r>
        <w:br/>
      </w: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Орналасқан жерінің мекенжайы 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848"/>
        <w:gridCol w:w="420"/>
        <w:gridCol w:w="421"/>
        <w:gridCol w:w="421"/>
        <w:gridCol w:w="42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есеп және есептілік</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экологиялық бақылау нәтижелерi бойынша есептiң болуы және оны жүргізуі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қалдықтарды көму полигонының қоршаған ортаға әсеріне мониторинг жүргізілгені туралы жыл сайынғы берілген есептің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рұқсатқа енгізілген табиғат пайдалану шарттарының орындалуы туралы рұқсат берген органға ұсынылған тоқсан сайынғы есептің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есепке алу журналының болуы және оны жүргізу;</w:t>
            </w:r>
            <w:r>
              <w:br/>
            </w:r>
            <w:r>
              <w:rPr>
                <w:rFonts w:ascii="Times New Roman"/>
                <w:b w:val="false"/>
                <w:i w:val="false"/>
                <w:color w:val="000000"/>
                <w:sz w:val="20"/>
              </w:rPr>
              <w:t>
Қалдықтардың меншік иелері қалдықтардың есебі жөніндегі құжаттамаларды бес жыл бойы сақтауға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түгендеу жөніндегі жыл сайынғы есептің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орналастыру объектісі бойынша кадастрлық істің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парниктік газдарды түгендеу туралы немесе парниктік газдар шығарындылары мен сіңірулерінің нақты көлемі туралы есептің болуы және оны қоршаған ортаны қорғау саласындағы уәкілетті органға беру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сапасының нормативтерін сақтауын қамтамасыз ететін қауіпті қалдықтарды, шығарындыларды, төгінділерді тазарту, залалсыздандыру және кәдеге жарату бойынша қондырғылар мен жабдықтардың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экологиялық бақылауды ұйымдастыруға, жүргiзуге және бақылаушы органдармен өзара iс-қимыл жасауға жауап беретiн арнайы бөлiмшенің немесе қызметкердi тағайындау туралы бұйрықтың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пайдаланушының өндiрiстiк экологиялық бақылаудың бекітілген бағдарламасының болуы және оның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сағаттың ішінде қоршаған ортаны ластауымен авария болғаны туралы, сонымен қатар үш жұмыс күні ішінде өндiрiстiк экологиялық бақылау жүргiзу процесiнде анықталған Қазақстан Республикасының экологиялық заңнамасын бұзу фактiлерi туралы қоршаған ортаны қорғау саласындағы уәкiлеттi органға хабарлау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куәліктің немесе Қазақстан Республикасының техникалық реттеу туралы заңнамасында белгiленген тәртiппен аккредиттелген өндiрiстiк немесе тәуелсiз зертханалармен шарттың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және өзге де қызметтiң экологиялық қауiптi түрлерiн жүзеге асыратын тұлғалар үшін "Мiндеттi экологиялық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мiндеттi экологиялық сақтандыру шартының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эмиссияларға рұқсатының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терiс әсерiн тигiзетiн автомобиль және өзге де көлiк құралдары үшін белгіленген шекті жол берiлетiн шығарындылар нормативтерiн сақтау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эмиссияларға рұқсатта көрсетiлген табиғат пайдалану шарттарының орындалуы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пайдаланушыда өзінің жауапты лауазымды адамдары анықталған кемшiлiктердi жоюдың мерзiмдерiн көрсетiп, техникалық және экологиялық қауiпсiздiктiң жай-күйiн жазатын тексеру журналдарының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экологиялық заңнамасының бұзылуының, дүлей зiлзалалар мен табиғи катаклизмдердiң нәтижесiнде туындаған авариялық жағдайларды жою немесе оқшаулау жөнiндегi iс-қимылдар жоспарының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нәтижесінде анықталған бұзушылықтарды жою туралы берілген нұсқамаларды орындау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экологиялық сараптама oбъектiлерi</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құжаттамасына мемлекеттiк экологиялық сараптамасының болуы және оның талаптарының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нормативтерiнiң жобаларына мемлекеттiк экологиялық сараптамасының болуы және оның талаптарының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жобаларына мемлекеттiк экологиялық сараптамасының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жобаларына мемлекеттiк экологиялық сараптамасының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 мен жануарлар дүниесi ресурстарын алу мен пайдалануға арналған биологиялық негiздемелеріне мемлекеттiк экологиялық сараптамасының болуы және оның талаптарының сақтауы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жобаларына мемлекеттiк экологиялық сараптамасының болуы және оның талаптарының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аумақтарды экологиялық зілзала немесе төтенше экологиялық жағдай аймақтарына жатқызуды негiздейтiн аумақтарды зерттеу материалдарына мемлекеттiк экологиялық сараптамасының болуы және оның талаптарының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жобаларына мемлекеттiк экологиялық сараптамасының болуы және оның талаптарының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пайдалану кезiндегi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төмендеуiне, топырақтың құнарлы қабатын алуға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операцияларды жүргiзу кезiндегi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заттардың табиғи объектiлерге көшуiн болғызбау үшiн технологиялық алаңдарды гидрологиялық оқшаулай отырып, жер қойнауын пайдаланудың қалдықтарын ұйымдасқан түрде жинау мен сақтаудың инженерлiк жүйесiнің болуы және оны қолдану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 ерекше қорғалатын табиғи аумақтарда салынған жағдайларда, тек қана ұрасыз технологияның болуы және оны қолдану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Шламдарды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жер асты суы объектiлерiнiң жай-күйiне зиянды әсер ететiн немесе зиянды әсер етуi мүмкiн жеке және заңды тұлғалар су объектiлерiнiң ластануын және тартылуын болғызбайтын шаралар қабылдауға міндетті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шығарылған суды сiңiрме ұңғымаларға айдау жүргiзiлетiн ауданда жақын жердегi ұңғымалардағы, судың сапасына қоршаған ортаны қорғау бойынша мемлекеттiк органдарымен келiсiлген жоспар бойынша су пайдаланушылардың күшiмен жүйелi зертханалық байқаулар ұйымдастыру жоспарының болуы және оның орындалуы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барлау және (немесе) шығару кезiндегi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заңнамасында көзделген талаптарды орындау бөлігінде жер асты суларының кен орындарын барлау мен игеру келiсiмшартының шарттарын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барлау және (немесе) өндiру процесiнде жарамсыз күйге келтiрiлген жер учаскелерiнде кешендi қалпына келтiру жұмыстарының жүргiзiлуі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су тұтқыш жиектерiнің ластануын болғызбайтындай оны сенiмдi оқшаулаумен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 пайдалану кезiндегi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объектiлерiнiң жай-күйiне әсер ететiн кәсiпорындар мен басқа да құрылыстарды қоршаған ортаны қорғаудың, жер қойнауын қорғаудың, су ресурстарын молайту мен ұтымды пайдаланудың талаптары мен ережелерiн сақтай отырып, сондай-ақ аталған объектiлер қызметiнiң экологиялық салдарларын ескере отырып орналастыру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ағызып жiберу кезiндегi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бар табиғат пайдаланушылар олардың қоршаған ортаға әсерiн болғызбау жөніндегі қажеттi шараларды қабылдауға мiндеттi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минералға қаныққан, ауызсу, бальнеологиялық, техникалық қажеттіліктер үшін, сондай-ақ ирригация және мал шаруашылығы мақсатында пайдаланылмайтын немесе пайдалануға болмайтын, жерасты сутұтқыш белдеулерге сарқынды суларды айдауды қоспағанда, сондай-ақ қосымша ілесіп шыққан шахта және карьер суларын жинақтауыш тоғандарға және (немесе) буландырғыш тоғандарға ағызуды қоспағанда, нормативтiк көрсеткiштерге дейін тазартылмаған сарқынды суларды төгу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олардың тазалану деңгейiне қарамастан,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жiберуге жол берiлмейді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 су көлемін есептеу аспаптарының және су тұтыну мен су бөлуді есепке алу журналының болуы және оны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шаруашылық және өзге де қызметті жүзеге асыру кезіндегі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тартылмайтын және жер қойнауына айдалмайтын бұрғылау қалдықтарын (шламдар мен ерітінділерді)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өндірістік (бұрғылау, өндіру, пайдалану) объектілерде және оларға қызмет көрсететін кемелерде сарқынды суларды тазарту мен залалсыздандыруға немесе сарқынды суларды жинауға, сақтауға және кейіннен арнаулы кемелерге немесе жағалаудағы қабылдау құрылғыларына беруге арналған қондырғының болуы. Қоқысты жинау немесе өңдеу (ұнтақтау немесе сығымдау) үшін тиісті құрылғылардың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Халықаралық теңіз ұйымының тұншықтыратын газ шығарындыларының шекті мәндері жөніндегі талаптарына сай келетін іштен жану двигательдерінің болуы және қолдануы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абсорбенттердің орналастырылуы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барлау мен өндіру кезіндегі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асырылуға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мұнай операцияларын жүргізу кезінде авариялық төгілулердің алдын алу, оларды оқшаулау және жою жөніндегі іс-шараларды қамтамасыз етуге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жүзуіне қойылатын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отынды жабық алып жүру жүйелерімен, ластанған сулар мен тұрмыстық қоқыстарды жинайтын ыдыстармен жабдықталуы, ашық су айдынына төгінділер мен шығарындыларға мүмкіндік бермейтін құрылғылармен жарақталуы және қолдануы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контейнерлердің және арнаулы ыдыстардың болуы және қолдануы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кезінде отынның және жанар-жағар май материалдарының төгілуі мен ағып кетуін болдырмайтын жүйелердің болуы және қолдануы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кеме палубаларының мұнай өнімдерімен ластануына, су айдындарына ластанған сарқынды сулардың ағуына жол бермейтін жабдықпен жарақталуы және қолдануы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аймағындағы қоршаған ортаның мониторингі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(мұзбен жабылған теңіз акваториясында қысқы кезеңдегі мониторингті қоспағанда, төрт климаттық маусым бойынша) барлық келісімшарт аумағы бойынша қоршаған ортаға өндірістік мониторинг жүргізуі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 салдарының мониторингі кідіріссіз ұйымдастырылады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қалдықтарымен жұмыс істеу кезіндегі жалпы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қызметі процесінде қалдықтар түзілетін жеке және заңды тұлғалар олармен қауіпсіз жұмыс істеу шараларын көздеуге, экологиялық және санитариялық-эпидемиологиялық талаптарды сақтауға және оларды кәдеге жарату, қайта өңдеу, залалсыздандыру және қауіпсіз жою жөніндегі іс-шараларды орындауға міндетті.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болмайды.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мен жоюдың жергілікті атқарушы органдардың шешімдерімен айқындалған орындарының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қалдықтарды сақтау орындарының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І және ІІ санаттағы табиғат пайдаланушы бекіткен қалдықтарды басқару бағдарламасының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қалдықтар паспортының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жерлерде рекультивациялау жөнінде жұмыстар жүргізу;</w:t>
            </w:r>
            <w:r>
              <w:br/>
            </w:r>
            <w:r>
              <w:rPr>
                <w:rFonts w:ascii="Times New Roman"/>
                <w:b w:val="false"/>
                <w:i w:val="false"/>
                <w:color w:val="000000"/>
                <w:sz w:val="20"/>
              </w:rPr>
              <w:t xml:space="preserve">
Объектілерді пайдалану аяқталғаннан кейін олардың жай-күйі мен қоршаған ортаға әсерін бақылауды жүргізуі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меншік иесі қауіптілік қасиеттерін көрсете отырып, қауіпті қалдықтардың бумасында таңбалаудың болуы.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хабарлайды.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иесінде учаскеде қабылданған қалдық тобының алынғаныны туралы жазбаша растаудың болуы және осы құжаттаманы бес жыл бойы сақталуы.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орналастырылған жер қалдықтың түрі, оның қауіптілік деңгейі және көмілген күні көрсетілген, айырым белгілерінің жақсы көрінетін жерде орналастырылуы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жинауды, кәдеге жаратуды, тасымалдауды және орналастыруды жүзеге асыратын кәсіпорындарда төтенше және авариялық жағдайлар кезінде іс-қимылдар жоспарларының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Жойылуы қиын органикалық ластауыштары бар қалдықтарды сақтау пункттерінде жойылуы қиын органикалық ластауыштардың қоршаған ортаға және халықтың денсаулығына әсерін болғызбауды қамтамасыз ететін қорғаныс құралдарының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кейіннен кәдеге жарату, өңдеу немесе түпкілікті көму мақсатында әрбір қалдық түрлері үшін жобалау құжаттамасында белгіленген кезеңге арнайы жабдықталған жерлердің (алаңдарда, көмбелерде, қоймаларда)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көмуге арнайы жабдықталған полигондардың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қабылдауға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сәйкестікке келтіру жөніндегі жоспардың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жабылғаннан кейін жерлерді рекультивациялау жөніндегі іс-шараларды және қоршаған ортаға әсердің мониторингін жүргізу үшін тарату қорының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қабылданатын қалдықтарды қабылдау мен сыныптау рәсімін растайтын құжаттардың болуы.</w:t>
            </w:r>
            <w:r>
              <w:br/>
            </w:r>
            <w:r>
              <w:rPr>
                <w:rFonts w:ascii="Times New Roman"/>
                <w:b w:val="false"/>
                <w:i w:val="false"/>
                <w:color w:val="000000"/>
                <w:sz w:val="20"/>
              </w:rPr>
              <w:t>
Көму үшін қабылданатын қалдықтарды қабылдау мен сыныптау рәсімін полигон иесі белгілейді және қоршаған ортаны қорғау саласындағы уәкілетті органмен келісіледі.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мониторингті және (немесе) талдауды жүргізетін аккредиттелген зертханалардың болуы немесе аккредиттелген зертханалармен жасалған шарттың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полигонының әрбір секциясы үшін газ мониторингін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 жиырма жыл бойы қоқыс газдың және сүзінді судың шығарындыларына мониторинг жүргізеді.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етуге міндетті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 және (немесе)көму пункттеріне қойылатын экологиялық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және озонды бұзатын заттардың шығарындыларына жол берілетін шаруашылық және өзге де қызметке қойылатын жалпы талаптар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 саласындағы мемлекеттік реттеу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мұнай-газ, электроэнергетика, тау-кен өндіруші, металлургия, химияның реттеуші салаларында, құрылыс материалдарын: цемент, әк, гипс және кірпіш өндіруге қатысты өңдеуші салада жүзеге асыратын табиғат пайдаланушылардың парниктік газдар шығарындыларын жылына көміртегі қостотығының жиырма мың тоннасына тең келетін мөлшерден асатын парниктік газдар шығарындыларына квоталарының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Лауазымды адам (адамдар): ______________ _____________ ____________________________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______________ _____________ ____________________________________________________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Тексерілетін субъектінің басшысы: ____________ _____________ _______________________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