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0e50" w14:textId="5200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қысқа мерзімді ноталарын шығару, орналастыру, айналысқа жіберу және өтеу қағидаларын бекіту туралы" Қазақстан Республикасы Ұлттық Банкі Басқармасының 2016 жылғы 26 қыркүйектегі № 239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 қарашадағы № 196 қаулысы. Қазақстан Республикасының Әділет министрлігінде 2017 жылғы 30 қарашада № 16037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Қазақстан Республикасының заңдарына сәйкес, Қазақстан Республикасы Ұлттық Банкінің қысқа мерзімді ноталарын шығару, орналастыру, айналысқа жіберу және өтеу тәртібін және талаптарын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қысқа мерзімді ноталарын шығару, орналастыру, айналысқа жіберу және өтеу қағидаларын бекіту туралы" Қазақстан Республикасы Ұлттық Банкі Басқармасының 2016 жылғы 26 қыркүйектегі № 239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14423 болып тіркелген, 2016 жылғы 5 желтоқсанда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қысқа мерзімді ноталарын шығару, орналастыру, айналысқа жіберу және өтеу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Қағидаларда Бағалы қағаздар нарығы туралы заңда,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2009 жылғы 28 тамыздағы (бұдан әрі – КЖТҚҚ туралы заң),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Қазақстан Республикасының заңдарында көзделген ұғымдар, сондай-ақ мынадай ұғымдар пайдаланылады:</w:t>
      </w:r>
    </w:p>
    <w:p>
      <w:pPr>
        <w:spacing w:after="0"/>
        <w:ind w:left="0"/>
        <w:jc w:val="both"/>
      </w:pPr>
      <w:r>
        <w:rPr>
          <w:rFonts w:ascii="Times New Roman"/>
          <w:b w:val="false"/>
          <w:i w:val="false"/>
          <w:color w:val="000000"/>
          <w:sz w:val="28"/>
        </w:rPr>
        <w:t>
      1) бір реттік код – жеке тұлғаның сұрауы бойынша бағдарламалық-аппараттық құралдармен жасалатын және жеке тұлғаның Ұлттық Банктің қысқа мерзімді ноталарын сатып алуына немесе сатуына рұқсат бергенде бір реттік пайдалануға арналған электрондық цифрлық символдардың бірегей қатары;</w:t>
      </w:r>
    </w:p>
    <w:p>
      <w:pPr>
        <w:spacing w:after="0"/>
        <w:ind w:left="0"/>
        <w:jc w:val="both"/>
      </w:pPr>
      <w:r>
        <w:rPr>
          <w:rFonts w:ascii="Times New Roman"/>
          <w:b w:val="false"/>
          <w:i w:val="false"/>
          <w:color w:val="000000"/>
          <w:sz w:val="28"/>
        </w:rPr>
        <w:t>
      2) веб-портал – жеке тұлғаға Ұлттық Банктің қысқа мерзімді ноталарын сатып алуға немесе сатуға қол жеткізу орнын ұсынатын ақпараттық жүйе;</w:t>
      </w:r>
    </w:p>
    <w:p>
      <w:pPr>
        <w:spacing w:after="0"/>
        <w:ind w:left="0"/>
        <w:jc w:val="both"/>
      </w:pPr>
      <w:r>
        <w:rPr>
          <w:rFonts w:ascii="Times New Roman"/>
          <w:b w:val="false"/>
          <w:i w:val="false"/>
          <w:color w:val="000000"/>
          <w:sz w:val="28"/>
        </w:rPr>
        <w:t>
      3) жеке тұлғаны сәйкестендіру – жеке тұлғаның шот және (немесе) электрондық әмиян ашу және Ұлттық Банктің қысқа мерзімді ноталарымен мәмілелерді жүзеге асыру құқығын нақты растау мақсатында жеке тұлғаның нағыз өзі екенін айқындау рәсімі;</w:t>
      </w:r>
    </w:p>
    <w:p>
      <w:pPr>
        <w:spacing w:after="0"/>
        <w:ind w:left="0"/>
        <w:jc w:val="both"/>
      </w:pPr>
      <w:r>
        <w:rPr>
          <w:rFonts w:ascii="Times New Roman"/>
          <w:b w:val="false"/>
          <w:i w:val="false"/>
          <w:color w:val="000000"/>
          <w:sz w:val="28"/>
        </w:rPr>
        <w:t>
      4) көп реттік код – жеке тұлғаның сұрауы бойынша бағдарламалық-аппараттық құралдармен жасалатын және жеке тұлғаға Ұлттық Банктің қысқа мерзімді ноталарын сатып алуға немесе сатуға рұқсат берілген кезде белгілі бір уақыт кезеңі ішінде көп рет пайдалануға арналған электрондық цифрлық символдардың бірегей қатары;</w:t>
      </w:r>
    </w:p>
    <w:p>
      <w:pPr>
        <w:spacing w:after="0"/>
        <w:ind w:left="0"/>
        <w:jc w:val="both"/>
      </w:pPr>
      <w:r>
        <w:rPr>
          <w:rFonts w:ascii="Times New Roman"/>
          <w:b w:val="false"/>
          <w:i w:val="false"/>
          <w:color w:val="000000"/>
          <w:sz w:val="28"/>
        </w:rPr>
        <w:t>
      5) кірістілік мөлшерлемесі – Ұлттық Банктің қысқа мерзімді ноталарын орналастыру немесе құнын төлеп алу бағасын есептеу үшін пайдаланылатын жеке тұлғалардан Ұлттық Банктің қысқа мерзімді ноталарын сатуға немесе құнын төлеп алуға жасалатын мәмілелердің параметрі;</w:t>
      </w:r>
    </w:p>
    <w:p>
      <w:pPr>
        <w:spacing w:after="0"/>
        <w:ind w:left="0"/>
        <w:jc w:val="both"/>
      </w:pPr>
      <w:r>
        <w:rPr>
          <w:rFonts w:ascii="Times New Roman"/>
          <w:b w:val="false"/>
          <w:i w:val="false"/>
          <w:color w:val="000000"/>
          <w:sz w:val="28"/>
        </w:rPr>
        <w:t>
      6) қадағалау бөлімшесі – Ұлттық Банктің бағалы қағаздар шығаруды мемлекеттік тіркеуге жауапты бөлімшесі;</w:t>
      </w:r>
    </w:p>
    <w:p>
      <w:pPr>
        <w:spacing w:after="0"/>
        <w:ind w:left="0"/>
        <w:jc w:val="both"/>
      </w:pPr>
      <w:r>
        <w:rPr>
          <w:rFonts w:ascii="Times New Roman"/>
          <w:b w:val="false"/>
          <w:i w:val="false"/>
          <w:color w:val="000000"/>
          <w:sz w:val="28"/>
        </w:rPr>
        <w:t>
      7) Орталық –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8) уәкілетті бөлімше – Ұлттық Банктің қысқа мерзімді ноталарын шығаруға және орналастыруға жауапты Ұлттық Банктің бөлімшесі;</w:t>
      </w:r>
    </w:p>
    <w:p>
      <w:pPr>
        <w:spacing w:after="0"/>
        <w:ind w:left="0"/>
        <w:jc w:val="both"/>
      </w:pPr>
      <w:r>
        <w:rPr>
          <w:rFonts w:ascii="Times New Roman"/>
          <w:b w:val="false"/>
          <w:i w:val="false"/>
          <w:color w:val="000000"/>
          <w:sz w:val="28"/>
        </w:rPr>
        <w:t>
      9) Ұлттық Банктің қысқа мерзімді ноталарын құнын төлеп алу – Ұлттық Банктің қысқа мерзімді ноталарының айналыс мерзімі аяқталғанға дейін оларды бағалы қағаздардың қайталама нарығында Ұлттық Банктің қысқа мерзімді ноталарын одан әрі сату мүмкіндігімен Ұлттық Банктің оларды ұстаушы болып табылатын жеке тұлғадан сатып алуы;</w:t>
      </w:r>
    </w:p>
    <w:p>
      <w:pPr>
        <w:spacing w:after="0"/>
        <w:ind w:left="0"/>
        <w:jc w:val="both"/>
      </w:pPr>
      <w:r>
        <w:rPr>
          <w:rFonts w:ascii="Times New Roman"/>
          <w:b w:val="false"/>
          <w:i w:val="false"/>
          <w:color w:val="000000"/>
          <w:sz w:val="28"/>
        </w:rPr>
        <w:t>
      10) Ұлттық Банктің қысқа мерзімді ноталарын өтеу – эмитенттің Ұлттық Банктің қысқа мерзімді ноталарының (кейіннен сату мақсатынсыз) номиналды құнын электрондық ақшамен төлеу жолымен орналастырылған қысқа мерзімді ноталарын айналыстан алу әрекеттері;</w:t>
      </w:r>
    </w:p>
    <w:p>
      <w:pPr>
        <w:spacing w:after="0"/>
        <w:ind w:left="0"/>
        <w:jc w:val="both"/>
      </w:pPr>
      <w:r>
        <w:rPr>
          <w:rFonts w:ascii="Times New Roman"/>
          <w:b w:val="false"/>
          <w:i w:val="false"/>
          <w:color w:val="000000"/>
          <w:sz w:val="28"/>
        </w:rPr>
        <w:t>
      11) шот – орталық депозитарий Ұлттық Банкке және (немесе) мемлекеттік бағалы қағаздарды ұстаушылар тізілімінің жүйесінде жеке тұлғаға ашылған Ұлттық Банктің қысқа мерзімді ноталарын есепке алуға арналған шот;</w:t>
      </w:r>
    </w:p>
    <w:p>
      <w:pPr>
        <w:spacing w:after="0"/>
        <w:ind w:left="0"/>
        <w:jc w:val="both"/>
      </w:pPr>
      <w:r>
        <w:rPr>
          <w:rFonts w:ascii="Times New Roman"/>
          <w:b w:val="false"/>
          <w:i w:val="false"/>
          <w:color w:val="000000"/>
          <w:sz w:val="28"/>
        </w:rPr>
        <w:t>
      12) электрондық әмиян – микропроцессор (чип), дербес компьютердің бағдарламалық қамтамасыз етуі, операторы Орталық болатын және (немесе) оларға рұқсатты қамтамасыз ететін электрондық ақша жүйесінде пайдаланылатын электрондық ақша сақталатын өзге бағдарламалық-техникалық құрал;</w:t>
      </w:r>
    </w:p>
    <w:p>
      <w:pPr>
        <w:spacing w:after="0"/>
        <w:ind w:left="0"/>
        <w:jc w:val="both"/>
      </w:pPr>
      <w:r>
        <w:rPr>
          <w:rFonts w:ascii="Times New Roman"/>
          <w:b w:val="false"/>
          <w:i w:val="false"/>
          <w:color w:val="000000"/>
          <w:sz w:val="28"/>
        </w:rPr>
        <w:t>
      13) электрондық қосымша – мобильді телефондарда және өзге құрылғыларда не веб-порталдарда Ұлттық Банктің қысқа мерзімді ноталарын сатып алу немесе сату қызметін жеке тұлғаларға ұсынуға арналған арнайы бағдарламалық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 xml:space="preserve">19-тармақтар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Шот және (немесе) электрондық әмиян ашу өтінімінде мынадай мәліметтер қамтылады:</w:t>
      </w:r>
    </w:p>
    <w:p>
      <w:pPr>
        <w:spacing w:after="0"/>
        <w:ind w:left="0"/>
        <w:jc w:val="both"/>
      </w:pPr>
      <w:r>
        <w:rPr>
          <w:rFonts w:ascii="Times New Roman"/>
          <w:b w:val="false"/>
          <w:i w:val="false"/>
          <w:color w:val="000000"/>
          <w:sz w:val="28"/>
        </w:rPr>
        <w:t>
      1) жеке тұлғаның тегі, аты, әкесінің аты (бар болса);</w:t>
      </w:r>
    </w:p>
    <w:p>
      <w:pPr>
        <w:spacing w:after="0"/>
        <w:ind w:left="0"/>
        <w:jc w:val="both"/>
      </w:pPr>
      <w:r>
        <w:rPr>
          <w:rFonts w:ascii="Times New Roman"/>
          <w:b w:val="false"/>
          <w:i w:val="false"/>
          <w:color w:val="000000"/>
          <w:sz w:val="28"/>
        </w:rPr>
        <w:t>
      2) жеке сәйкестендіру нөмірі;</w:t>
      </w:r>
    </w:p>
    <w:p>
      <w:pPr>
        <w:spacing w:after="0"/>
        <w:ind w:left="0"/>
        <w:jc w:val="both"/>
      </w:pPr>
      <w:r>
        <w:rPr>
          <w:rFonts w:ascii="Times New Roman"/>
          <w:b w:val="false"/>
          <w:i w:val="false"/>
          <w:color w:val="000000"/>
          <w:sz w:val="28"/>
        </w:rPr>
        <w:t>
      3) мобильді телефон нөмірі;</w:t>
      </w:r>
    </w:p>
    <w:p>
      <w:pPr>
        <w:spacing w:after="0"/>
        <w:ind w:left="0"/>
        <w:jc w:val="both"/>
      </w:pPr>
      <w:r>
        <w:rPr>
          <w:rFonts w:ascii="Times New Roman"/>
          <w:b w:val="false"/>
          <w:i w:val="false"/>
          <w:color w:val="000000"/>
          <w:sz w:val="28"/>
        </w:rPr>
        <w:t>
      4) электрондық пошта мекенжайы;</w:t>
      </w:r>
    </w:p>
    <w:p>
      <w:pPr>
        <w:spacing w:after="0"/>
        <w:ind w:left="0"/>
        <w:jc w:val="both"/>
      </w:pPr>
      <w:r>
        <w:rPr>
          <w:rFonts w:ascii="Times New Roman"/>
          <w:b w:val="false"/>
          <w:i w:val="false"/>
          <w:color w:val="000000"/>
          <w:sz w:val="28"/>
        </w:rPr>
        <w:t>
      5) Қағидалардың 19-тармағында көрсетілген жеке тұлғаны сәйкестендіру мақсатында орталық депозитарийге, бірыңғай жинақтаушы зейнетақы қорына және өзге үшінші тұлғаларға жеке тұлғаның дербес деректерін жинауға, өңдеуге және жариялауға келісімі туралы белгі.</w:t>
      </w:r>
    </w:p>
    <w:p>
      <w:pPr>
        <w:spacing w:after="0"/>
        <w:ind w:left="0"/>
        <w:jc w:val="both"/>
      </w:pPr>
      <w:r>
        <w:rPr>
          <w:rFonts w:ascii="Times New Roman"/>
          <w:b w:val="false"/>
          <w:i w:val="false"/>
          <w:color w:val="000000"/>
          <w:sz w:val="28"/>
        </w:rPr>
        <w:t>
      19. Жеке тұлғаны сәйкестендіру үшін мыналар пайдаланылады:</w:t>
      </w:r>
    </w:p>
    <w:p>
      <w:pPr>
        <w:spacing w:after="0"/>
        <w:ind w:left="0"/>
        <w:jc w:val="both"/>
      </w:pPr>
      <w:r>
        <w:rPr>
          <w:rFonts w:ascii="Times New Roman"/>
          <w:b w:val="false"/>
          <w:i w:val="false"/>
          <w:color w:val="000000"/>
          <w:sz w:val="28"/>
        </w:rPr>
        <w:t>
      1) жеке тұлғаның электрондық цифрлық қолтаңбасы;</w:t>
      </w:r>
    </w:p>
    <w:p>
      <w:pPr>
        <w:spacing w:after="0"/>
        <w:ind w:left="0"/>
        <w:jc w:val="both"/>
      </w:pPr>
      <w:r>
        <w:rPr>
          <w:rFonts w:ascii="Times New Roman"/>
          <w:b w:val="false"/>
          <w:i w:val="false"/>
          <w:color w:val="000000"/>
          <w:sz w:val="28"/>
        </w:rPr>
        <w:t>
      2) немесе Орталық және орталық депозитарий ақпарат алмасу туралы келісім жасаған екінші деңгейдегі банк немесе Ұлттық пошта операторы шығарған төлем карточкасының деректемелері (төлем карточкасының нөмірі, қолданылу мерзімі, төлем карточкалар жүйесінің атауы);</w:t>
      </w:r>
    </w:p>
    <w:p>
      <w:pPr>
        <w:spacing w:after="0"/>
        <w:ind w:left="0"/>
        <w:jc w:val="both"/>
      </w:pPr>
      <w:r>
        <w:rPr>
          <w:rFonts w:ascii="Times New Roman"/>
          <w:b w:val="false"/>
          <w:i w:val="false"/>
          <w:color w:val="000000"/>
          <w:sz w:val="28"/>
        </w:rPr>
        <w:t>
      3) немесе орталық депозитарийдің есепке алу жүйесінде жеке тұлғаға ашылған қосалқы шоттың нөмірі;</w:t>
      </w:r>
    </w:p>
    <w:p>
      <w:pPr>
        <w:spacing w:after="0"/>
        <w:ind w:left="0"/>
        <w:jc w:val="both"/>
      </w:pPr>
      <w:r>
        <w:rPr>
          <w:rFonts w:ascii="Times New Roman"/>
          <w:b w:val="false"/>
          <w:i w:val="false"/>
          <w:color w:val="000000"/>
          <w:sz w:val="28"/>
        </w:rPr>
        <w:t xml:space="preserve">
      4) немесе Қағидалардың 18-тармағының 1), 2) тармақшаларында көзделген бірыңғай жинақтаушы зейнетақы қорында бар мәліметтер; </w:t>
      </w:r>
    </w:p>
    <w:p>
      <w:pPr>
        <w:spacing w:after="0"/>
        <w:ind w:left="0"/>
        <w:jc w:val="both"/>
      </w:pPr>
      <w:r>
        <w:rPr>
          <w:rFonts w:ascii="Times New Roman"/>
          <w:b w:val="false"/>
          <w:i w:val="false"/>
          <w:color w:val="000000"/>
          <w:sz w:val="28"/>
        </w:rPr>
        <w:t>
      5) немесе орталық депозитарийдің қағидалар жинағында көзделген жеке тұлғаны сәйкестендіру тәсілдері.";</w:t>
      </w:r>
    </w:p>
    <w:bookmarkStart w:name="z6" w:id="3"/>
    <w:p>
      <w:pPr>
        <w:spacing w:after="0"/>
        <w:ind w:left="0"/>
        <w:jc w:val="both"/>
      </w:pPr>
      <w:r>
        <w:rPr>
          <w:rFonts w:ascii="Times New Roman"/>
          <w:b w:val="false"/>
          <w:i w:val="false"/>
          <w:color w:val="000000"/>
          <w:sz w:val="28"/>
        </w:rPr>
        <w:t>
      мынадай редакциядағы 19-1-тармақпен толықтырылсын:</w:t>
      </w:r>
    </w:p>
    <w:bookmarkEnd w:id="3"/>
    <w:p>
      <w:pPr>
        <w:spacing w:after="0"/>
        <w:ind w:left="0"/>
        <w:jc w:val="both"/>
      </w:pPr>
      <w:r>
        <w:rPr>
          <w:rFonts w:ascii="Times New Roman"/>
          <w:b w:val="false"/>
          <w:i w:val="false"/>
          <w:color w:val="000000"/>
          <w:sz w:val="28"/>
        </w:rPr>
        <w:t>
      "19-1. Жеке тұлғаны Қағидалардың 19-тармағының 1) тармақшасында көзделген тәсілмен сәйкестендіру кезінде электрондық қосымшада шот және (немесе) электрондық әмиян ашу өтініміне клиенттің жеке басын куәландыратын құжаттың көшірмесі қоса беріледі.".</w:t>
      </w:r>
    </w:p>
    <w:bookmarkStart w:name="z7" w:id="4"/>
    <w:p>
      <w:pPr>
        <w:spacing w:after="0"/>
        <w:ind w:left="0"/>
        <w:jc w:val="both"/>
      </w:pPr>
      <w:r>
        <w:rPr>
          <w:rFonts w:ascii="Times New Roman"/>
          <w:b w:val="false"/>
          <w:i w:val="false"/>
          <w:color w:val="000000"/>
          <w:sz w:val="28"/>
        </w:rPr>
        <w:t>
      2. Банктік емес қаржы ұйымдарын реттеу департаменті (Шайқақова Г.Ж.)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6"/>
    <w:bookmarkStart w:name="z10"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w:t>
      </w:r>
    </w:p>
    <w:bookmarkEnd w:id="7"/>
    <w:bookmarkStart w:name="z11" w:id="8"/>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тармақтың 2), 3) тармақшаларында және осы қаулының 3-тармағында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3"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10"/>
    <w:bookmarkStart w:name="z14"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Ақышев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