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0eb5" w14:textId="f420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 қарашадағы № 197 қаулысы. Қазақстан Республикасының Әділет министрлігінде 2017 жылғы 30 қарашада № 16032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Өзгерістер енгізілетін Қазақстан Республикасының бағалы қағаздар нарығын реттеу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(Шайқақова Г.Ж.)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 қарашадағы</w:t>
            </w:r>
            <w:r>
              <w:br/>
            </w:r>
            <w:r>
              <w:rPr>
                <w:rFonts w:ascii="Times New Roman"/>
                <w:b w:val="false"/>
                <w:i w:val="false"/>
                <w:color w:val="000000"/>
                <w:sz w:val="20"/>
              </w:rPr>
              <w:t>№ 197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енгізілетін Қазақстан Республикасының бағалы қағаздар нарығын реттеу мәселелері бойынша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"Жобалық қаржыландыру және секьюритилендiру кезде бөлінген активтердің құрамына кіретін ақшаны инвестициялауды жүзеге асыруға қойылатын талаптарды және бөлінген активтер есебінен сатып алуға рұқсат етілген қаржы құралдарының тізбесін бекіту туралы" Қазақстан Республикасының Ұлттық Банкі Басқармасының 2012 жылғы 13 ақпандағы № 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7475 тіркелген, 2012 жылғы 24 мамырда "Егемен Қазақстан" газетінде № 261-266 (27340) жарияланған)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қор биржасының ресми тізіміне енгізілген және Нормативтік құқықтық актілерді мемлекеттік тіркеу тізілімінде № 15175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қаулысына</w:t>
      </w:r>
      <w:r>
        <w:rPr>
          <w:rFonts w:ascii="Times New Roman"/>
          <w:b w:val="false"/>
          <w:i w:val="false"/>
          <w:color w:val="000000"/>
          <w:sz w:val="28"/>
        </w:rPr>
        <w:t xml:space="preserve"> (бұдан әрі - № 54 талаптар) сәйкес келетін борыштық бағалы қағаздар;</w:t>
      </w:r>
    </w:p>
    <w:bookmarkEnd w:id="12"/>
    <w:bookmarkStart w:name="z17" w:id="13"/>
    <w:p>
      <w:pPr>
        <w:spacing w:after="0"/>
        <w:ind w:left="0"/>
        <w:jc w:val="both"/>
      </w:pPr>
      <w:r>
        <w:rPr>
          <w:rFonts w:ascii="Times New Roman"/>
          <w:b w:val="false"/>
          <w:i w:val="false"/>
          <w:color w:val="000000"/>
          <w:sz w:val="28"/>
        </w:rPr>
        <w:t>
      2) қор биржасының ресми тізіміне енгізілген және № 54 талаптарда көзделген талаптарға сәйкес келетін акциялар;";</w:t>
      </w:r>
    </w:p>
    <w:bookmarkEnd w:id="13"/>
    <w:bookmarkStart w:name="z18" w:id="14"/>
    <w:p>
      <w:pPr>
        <w:spacing w:after="0"/>
        <w:ind w:left="0"/>
        <w:jc w:val="both"/>
      </w:pPr>
      <w:r>
        <w:rPr>
          <w:rFonts w:ascii="Times New Roman"/>
          <w:b w:val="false"/>
          <w:i w:val="false"/>
          <w:color w:val="000000"/>
          <w:sz w:val="28"/>
        </w:rPr>
        <w:t>
      6) тармақша мынадай редакцияда жазылсын:</w:t>
      </w:r>
    </w:p>
    <w:bookmarkEnd w:id="14"/>
    <w:p>
      <w:pPr>
        <w:spacing w:after="0"/>
        <w:ind w:left="0"/>
        <w:jc w:val="both"/>
      </w:pPr>
      <w:r>
        <w:rPr>
          <w:rFonts w:ascii="Times New Roman"/>
          <w:b w:val="false"/>
          <w:i w:val="false"/>
          <w:color w:val="000000"/>
          <w:sz w:val="28"/>
        </w:rPr>
        <w:t>
      "6) мынадай халықаралық қаржы ұйымдары шығарған борыштық бағалы қағаздар:</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Еуропалық қайта құру және даму банкi;</w:t>
      </w:r>
    </w:p>
    <w:p>
      <w:pPr>
        <w:spacing w:after="0"/>
        <w:ind w:left="0"/>
        <w:jc w:val="both"/>
      </w:pPr>
      <w:r>
        <w:rPr>
          <w:rFonts w:ascii="Times New Roman"/>
          <w:b w:val="false"/>
          <w:i w:val="false"/>
          <w:color w:val="000000"/>
          <w:sz w:val="28"/>
        </w:rPr>
        <w:t>
      Америкааралық даму банкi;</w:t>
      </w:r>
    </w:p>
    <w:p>
      <w:pPr>
        <w:spacing w:after="0"/>
        <w:ind w:left="0"/>
        <w:jc w:val="both"/>
      </w:pPr>
      <w:r>
        <w:rPr>
          <w:rFonts w:ascii="Times New Roman"/>
          <w:b w:val="false"/>
          <w:i w:val="false"/>
          <w:color w:val="000000"/>
          <w:sz w:val="28"/>
        </w:rPr>
        <w:t>
      Халықаралық есеп айырысу банкi;</w:t>
      </w:r>
    </w:p>
    <w:p>
      <w:pPr>
        <w:spacing w:after="0"/>
        <w:ind w:left="0"/>
        <w:jc w:val="both"/>
      </w:pPr>
      <w:r>
        <w:rPr>
          <w:rFonts w:ascii="Times New Roman"/>
          <w:b w:val="false"/>
          <w:i w:val="false"/>
          <w:color w:val="000000"/>
          <w:sz w:val="28"/>
        </w:rPr>
        <w:t>
      Азиялық даму банкi;</w:t>
      </w:r>
    </w:p>
    <w:p>
      <w:pPr>
        <w:spacing w:after="0"/>
        <w:ind w:left="0"/>
        <w:jc w:val="both"/>
      </w:pPr>
      <w:r>
        <w:rPr>
          <w:rFonts w:ascii="Times New Roman"/>
          <w:b w:val="false"/>
          <w:i w:val="false"/>
          <w:color w:val="000000"/>
          <w:sz w:val="28"/>
        </w:rPr>
        <w:t>
      Африкалық даму банкi;</w:t>
      </w:r>
    </w:p>
    <w:p>
      <w:pPr>
        <w:spacing w:after="0"/>
        <w:ind w:left="0"/>
        <w:jc w:val="both"/>
      </w:pPr>
      <w:r>
        <w:rPr>
          <w:rFonts w:ascii="Times New Roman"/>
          <w:b w:val="false"/>
          <w:i w:val="false"/>
          <w:color w:val="000000"/>
          <w:sz w:val="28"/>
        </w:rPr>
        <w:t>
      Халықаралық қаржылық корпорация;</w:t>
      </w:r>
    </w:p>
    <w:p>
      <w:pPr>
        <w:spacing w:after="0"/>
        <w:ind w:left="0"/>
        <w:jc w:val="both"/>
      </w:pPr>
      <w:r>
        <w:rPr>
          <w:rFonts w:ascii="Times New Roman"/>
          <w:b w:val="false"/>
          <w:i w:val="false"/>
          <w:color w:val="000000"/>
          <w:sz w:val="28"/>
        </w:rPr>
        <w:t>
      Ислам даму банкi;</w:t>
      </w:r>
    </w:p>
    <w:p>
      <w:pPr>
        <w:spacing w:after="0"/>
        <w:ind w:left="0"/>
        <w:jc w:val="both"/>
      </w:pPr>
      <w:r>
        <w:rPr>
          <w:rFonts w:ascii="Times New Roman"/>
          <w:b w:val="false"/>
          <w:i w:val="false"/>
          <w:color w:val="000000"/>
          <w:sz w:val="28"/>
        </w:rPr>
        <w:t>
      Еуропалық инвестициялық банк;</w:t>
      </w:r>
    </w:p>
    <w:p>
      <w:pPr>
        <w:spacing w:after="0"/>
        <w:ind w:left="0"/>
        <w:jc w:val="both"/>
      </w:pPr>
      <w:r>
        <w:rPr>
          <w:rFonts w:ascii="Times New Roman"/>
          <w:b w:val="false"/>
          <w:i w:val="false"/>
          <w:color w:val="000000"/>
          <w:sz w:val="28"/>
        </w:rPr>
        <w:t>
      Еуразиялық даму банкi;</w:t>
      </w:r>
    </w:p>
    <w:p>
      <w:pPr>
        <w:spacing w:after="0"/>
        <w:ind w:left="0"/>
        <w:jc w:val="both"/>
      </w:pPr>
      <w:r>
        <w:rPr>
          <w:rFonts w:ascii="Times New Roman"/>
          <w:b w:val="false"/>
          <w:i w:val="false"/>
          <w:color w:val="000000"/>
          <w:sz w:val="28"/>
        </w:rPr>
        <w:t>
      Еуропалық Кеңестің Даму Банкі;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базалық активі мыналар:</w:t>
      </w:r>
    </w:p>
    <w:p>
      <w:pPr>
        <w:spacing w:after="0"/>
        <w:ind w:left="0"/>
        <w:jc w:val="both"/>
      </w:pPr>
      <w:r>
        <w:rPr>
          <w:rFonts w:ascii="Times New Roman"/>
          <w:b w:val="false"/>
          <w:i w:val="false"/>
          <w:color w:val="000000"/>
          <w:sz w:val="28"/>
        </w:rPr>
        <w:t>
      шетелдік және ұлттық валюта;</w:t>
      </w:r>
    </w:p>
    <w:p>
      <w:pPr>
        <w:spacing w:after="0"/>
        <w:ind w:left="0"/>
        <w:jc w:val="both"/>
      </w:pPr>
      <w:r>
        <w:rPr>
          <w:rFonts w:ascii="Times New Roman"/>
          <w:b w:val="false"/>
          <w:i w:val="false"/>
          <w:color w:val="000000"/>
          <w:sz w:val="28"/>
        </w:rPr>
        <w:t>
      валюталық индекстер;</w:t>
      </w:r>
    </w:p>
    <w:p>
      <w:pPr>
        <w:spacing w:after="0"/>
        <w:ind w:left="0"/>
        <w:jc w:val="both"/>
      </w:pPr>
      <w:r>
        <w:rPr>
          <w:rFonts w:ascii="Times New Roman"/>
          <w:b w:val="false"/>
          <w:i w:val="false"/>
          <w:color w:val="000000"/>
          <w:sz w:val="28"/>
        </w:rPr>
        <w:t>
      Лондондық қымбат металдар нарығының қауымдастығы (London billion market association) қабылдаған халықаралық сапа стандарттарына сай келетiн және осы қауымдастықтың құжаттарында "Лондондық сапалы жеткiзiлiм" ("London good delivery") стандарты ретiнде белгіленген тазартылған қымбат металдар;</w:t>
      </w:r>
    </w:p>
    <w:p>
      <w:pPr>
        <w:spacing w:after="0"/>
        <w:ind w:left="0"/>
        <w:jc w:val="both"/>
      </w:pPr>
      <w:r>
        <w:rPr>
          <w:rFonts w:ascii="Times New Roman"/>
          <w:b w:val="false"/>
          <w:i w:val="false"/>
          <w:color w:val="000000"/>
          <w:sz w:val="28"/>
        </w:rPr>
        <w:t>
       қор биржасының ресми тізіміне енгізілген және № 54 талаптарда көзделген талаптарға сәйкес келетін бағалы қағаздар;</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Есептік көрсеткіштердің (индекстердің) тізбесінде айқындалған есептік көрсеткіштер (индекстер);</w:t>
      </w:r>
    </w:p>
    <w:p>
      <w:pPr>
        <w:spacing w:after="0"/>
        <w:ind w:left="0"/>
        <w:jc w:val="both"/>
      </w:pPr>
      <w:r>
        <w:rPr>
          <w:rFonts w:ascii="Times New Roman"/>
          <w:b w:val="false"/>
          <w:i w:val="false"/>
          <w:color w:val="000000"/>
          <w:sz w:val="28"/>
        </w:rPr>
        <w:t>
      көрсетілген тауар активтерінің нақты жеткізілуін жүзеге асырмай, осы қаулыға 2-қосымшада Тауар активтерінің тізбесінде айқындалған тауар активтері, сондай-ақ тауар активтерінің индекстері болып табылатын туынды қаржы құралдары және туынды бағалы қағаздар;".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29.10.2018 </w:t>
      </w:r>
      <w:r>
        <w:rPr>
          <w:rFonts w:ascii="Times New Roman"/>
          <w:b w:val="false"/>
          <w:i w:val="false"/>
          <w:color w:val="00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000000"/>
          <w:sz w:val="28"/>
        </w:rPr>
        <w:t>
</w:t>
      </w:r>
    </w:p>
    <w:bookmarkStart w:name="z48" w:id="15"/>
    <w:p>
      <w:pPr>
        <w:spacing w:after="0"/>
        <w:ind w:left="0"/>
        <w:jc w:val="both"/>
      </w:pPr>
      <w:r>
        <w:rPr>
          <w:rFonts w:ascii="Times New Roman"/>
          <w:b w:val="false"/>
          <w:i w:val="false"/>
          <w:color w:val="000000"/>
          <w:sz w:val="28"/>
        </w:rPr>
        <w:t xml:space="preserve">
      3.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9876 тіркелген, 2014 жылғы 28 қарашада "Әділет" ақпараттық-құқықтық жүйесінде жарияланған) мынадай өзгерістер енгізілсін:</w:t>
      </w:r>
    </w:p>
    <w:bookmarkEnd w:id="15"/>
    <w:bookmarkStart w:name="z49" w:id="16"/>
    <w:p>
      <w:pPr>
        <w:spacing w:after="0"/>
        <w:ind w:left="0"/>
        <w:jc w:val="both"/>
      </w:pPr>
      <w:r>
        <w:rPr>
          <w:rFonts w:ascii="Times New Roman"/>
          <w:b w:val="false"/>
          <w:i w:val="false"/>
          <w:color w:val="000000"/>
          <w:sz w:val="28"/>
        </w:rPr>
        <w:t>
      тақырыбы мынадай редакцияда жазылсын:</w:t>
      </w:r>
    </w:p>
    <w:bookmarkEnd w:id="16"/>
    <w:p>
      <w:pPr>
        <w:spacing w:after="0"/>
        <w:ind w:left="0"/>
        <w:jc w:val="both"/>
      </w:pPr>
      <w:r>
        <w:rPr>
          <w:rFonts w:ascii="Times New Roman"/>
          <w:b w:val="false"/>
          <w:i w:val="false"/>
          <w:color w:val="000000"/>
          <w:sz w:val="28"/>
        </w:rPr>
        <w:t>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Қоса беріліп отырған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51" w:id="17"/>
    <w:p>
      <w:pPr>
        <w:spacing w:after="0"/>
        <w:ind w:left="0"/>
        <w:jc w:val="both"/>
      </w:pPr>
      <w:r>
        <w:rPr>
          <w:rFonts w:ascii="Times New Roman"/>
          <w:b w:val="false"/>
          <w:i w:val="false"/>
          <w:color w:val="000000"/>
          <w:sz w:val="28"/>
        </w:rPr>
        <w:t xml:space="preserve">
      көрсетілген қаулымен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 көшірмені беру және номиналды ұстаушының ақпаратты ашу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52" w:id="18"/>
    <w:p>
      <w:pPr>
        <w:spacing w:after="0"/>
        <w:ind w:left="0"/>
        <w:jc w:val="both"/>
      </w:pPr>
      <w:r>
        <w:rPr>
          <w:rFonts w:ascii="Times New Roman"/>
          <w:b w:val="false"/>
          <w:i w:val="false"/>
          <w:color w:val="000000"/>
          <w:sz w:val="28"/>
        </w:rPr>
        <w:t>
      тақырыбы мынадай редакцияда жазылсын:</w:t>
      </w:r>
    </w:p>
    <w:bookmarkEnd w:id="18"/>
    <w:p>
      <w:pPr>
        <w:spacing w:after="0"/>
        <w:ind w:left="0"/>
        <w:jc w:val="both"/>
      </w:pPr>
      <w:r>
        <w:rPr>
          <w:rFonts w:ascii="Times New Roman"/>
          <w:b w:val="false"/>
          <w:i w:val="false"/>
          <w:color w:val="000000"/>
          <w:sz w:val="28"/>
        </w:rPr>
        <w:t>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және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қағидалары (бұдан әрі - Қағидалар)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 2003 жылғы 2 шілдедегі (бұдан әрі - Бағалы қағаздар нарығы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тәртібін,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талаптары мен тәртібін, сондай-ақ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Номиналды ұстаушы клиентпен номиналды ұстау туралы шарт жасасқаннан кейін клиентке номиналды ұстауды есепке алу жүйесінде жеке шот және орталық депозитарийдің есепке алу жүйесінде және (немесе) шетелдік есеп айырысу ұйымында клиенттің қосалқы шотын ашады.</w:t>
      </w:r>
    </w:p>
    <w:p>
      <w:pPr>
        <w:spacing w:after="0"/>
        <w:ind w:left="0"/>
        <w:jc w:val="both"/>
      </w:pPr>
      <w:r>
        <w:rPr>
          <w:rFonts w:ascii="Times New Roman"/>
          <w:b w:val="false"/>
          <w:i w:val="false"/>
          <w:color w:val="000000"/>
          <w:sz w:val="28"/>
        </w:rPr>
        <w:t>
      Орталық депозитарийдің есепке алу жүйесінде қосалқы шотты ашу үшін номиналды ұстаушы орталық депозитарийге Қағидалардың 5-тармағының талаптарына сәйкес оны ашу үшін қажетті барлық деректемелерді көрсете отырып, клиент туралы мәліметтер береді.</w:t>
      </w:r>
    </w:p>
    <w:p>
      <w:pPr>
        <w:spacing w:after="0"/>
        <w:ind w:left="0"/>
        <w:jc w:val="both"/>
      </w:pPr>
      <w:r>
        <w:rPr>
          <w:rFonts w:ascii="Times New Roman"/>
          <w:b w:val="false"/>
          <w:i w:val="false"/>
          <w:color w:val="000000"/>
          <w:sz w:val="28"/>
        </w:rPr>
        <w:t xml:space="preserve">
      Жасырын жеке шоттарды және қосалқы шоттарды, сондай-ақ ойдан шығарылған аттарға жеке шоттарды және қосалқы шоттарды ашуға жол берілмейді. </w:t>
      </w:r>
    </w:p>
    <w:p>
      <w:pPr>
        <w:spacing w:after="0"/>
        <w:ind w:left="0"/>
        <w:jc w:val="both"/>
      </w:pPr>
      <w:r>
        <w:rPr>
          <w:rFonts w:ascii="Times New Roman"/>
          <w:b w:val="false"/>
          <w:i w:val="false"/>
          <w:color w:val="000000"/>
          <w:sz w:val="28"/>
        </w:rPr>
        <w:t>
      Осы Қағидалардың мақсатында шетелдік есеп айырысу ұйымы болып мыналар ұғынылады:</w:t>
      </w:r>
    </w:p>
    <w:p>
      <w:pPr>
        <w:spacing w:after="0"/>
        <w:ind w:left="0"/>
        <w:jc w:val="both"/>
      </w:pPr>
      <w:r>
        <w:rPr>
          <w:rFonts w:ascii="Times New Roman"/>
          <w:b w:val="false"/>
          <w:i w:val="false"/>
          <w:color w:val="000000"/>
          <w:sz w:val="28"/>
        </w:rPr>
        <w:t>
      Standard &amp; Poor's агенттігінің халықаралық шәкілі бойынша "ВВВ-" төмен емес ұзақмерзімді кредиттік рейтингтік бағасы немесе басқа рейтингтік агенттіктердің бірінің осыған ұқсас деңгейдегі рейтингтік бағасы бар Қазақстан Республикасының резиденті емес-банк;</w:t>
      </w:r>
    </w:p>
    <w:p>
      <w:pPr>
        <w:spacing w:after="0"/>
        <w:ind w:left="0"/>
        <w:jc w:val="both"/>
      </w:pPr>
      <w:r>
        <w:rPr>
          <w:rFonts w:ascii="Times New Roman"/>
          <w:b w:val="false"/>
          <w:i w:val="false"/>
          <w:color w:val="000000"/>
          <w:sz w:val="28"/>
        </w:rPr>
        <w:t>
      Standard &amp; Poor's агенттігінің халықаралық шәкілі бойынша "ВВВ" төмен емес ұзақмерзімді кредиттік рейтингтік бағасы немесе басқа рейтингтік агенттіктердің бірінің осыған ұқсас деңгейдегі рейтингтік бағасы бар, Бағалы қағаздар нарығы туралы заңның 59-бабының 1-тармағында белгіленген міндеттерді жүзеге асыратын номиналды ұстаушының функцияларына ұқсас функцияларды жүзеге асыратын шетелдік ұйым;</w:t>
      </w:r>
    </w:p>
    <w:p>
      <w:pPr>
        <w:spacing w:after="0"/>
        <w:ind w:left="0"/>
        <w:jc w:val="both"/>
      </w:pPr>
      <w:r>
        <w:rPr>
          <w:rFonts w:ascii="Times New Roman"/>
          <w:b w:val="false"/>
          <w:i w:val="false"/>
          <w:color w:val="000000"/>
          <w:sz w:val="28"/>
        </w:rPr>
        <w:t>
      Бағалы қағаздарға қызмет көрсету мәселелері жөніндегі халықаралық қауымдастықтың (International Securities Services Association) мүшесі болып табылатын Қазақстан Республикасының резиденті емес-ұйым.";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Номиналды ұстаушының жеке шоты номиналды ұстаушыларға орталық депозитарийдің есепке алу жүйесінде немесе кастодианның есепке алу жүйесінде немесе шетелдік есеп айырысу ұйымында олар шетелдік бағалы қағаздарға қатысты немесе басқа шетелдік есеп айырысу ұйымдарға номиналды ұстау қызметін көрсету кезінде жеке шотты ашуға бұйрықтың және орталық депозитарийдің қағидалар жинағында немесе кастодианның немесе шетелдік есеп айырысу ұйымдарының ішкі құжатында айқындалған құжаттар негізінде ашылады.";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Резервтік көшірмелерді сақтау сейфтік операцияларды жүзеге асыратын, номиналды ұстаушымен үлестес емес ұйымда сыртқы тасымалдағыштарда (CD-R, CD-RW, Flash-Drive) жүзеге асырылады.</w:t>
      </w:r>
    </w:p>
    <w:p>
      <w:pPr>
        <w:spacing w:after="0"/>
        <w:ind w:left="0"/>
        <w:jc w:val="both"/>
      </w:pPr>
      <w:r>
        <w:rPr>
          <w:rFonts w:ascii="Times New Roman"/>
          <w:b w:val="false"/>
          <w:i w:val="false"/>
          <w:color w:val="000000"/>
          <w:sz w:val="28"/>
        </w:rPr>
        <w:t>
      Резервтік көшірмелерді сақтау үшін сейфтік операцияларды жүзеге асыратын ұйыммен шарт жасалған (бұзылған) сәттен бастап күнтізбелік он күн ішінде номиналды ұстаушы шарт жасалған (бұзылған) ұйымның атауын, сондай-ақ жасалған шарттың күні мен нөмірін көрсете отырып, уәкілетті органды бұл туралы хабардар етеді.</w:t>
      </w:r>
    </w:p>
    <w:p>
      <w:pPr>
        <w:spacing w:after="0"/>
        <w:ind w:left="0"/>
        <w:jc w:val="both"/>
      </w:pPr>
      <w:r>
        <w:rPr>
          <w:rFonts w:ascii="Times New Roman"/>
          <w:b w:val="false"/>
          <w:i w:val="false"/>
          <w:color w:val="000000"/>
          <w:sz w:val="28"/>
        </w:rPr>
        <w:t>
      Резервтік көшірмелер жаңартылған резервтік көшірмелермен ауыстырылғанға дейін сақталады.</w:t>
      </w:r>
    </w:p>
    <w:p>
      <w:pPr>
        <w:spacing w:after="0"/>
        <w:ind w:left="0"/>
        <w:jc w:val="both"/>
      </w:pPr>
      <w:r>
        <w:rPr>
          <w:rFonts w:ascii="Times New Roman"/>
          <w:b w:val="false"/>
          <w:i w:val="false"/>
          <w:color w:val="000000"/>
          <w:sz w:val="28"/>
        </w:rPr>
        <w:t>
      Осы тармақ номиналды ұстаушылар болып табылатын екінші деңгейдегі банктерге қолданылмайды.</w:t>
      </w:r>
    </w:p>
    <w:bookmarkStart w:name="z58" w:id="19"/>
    <w:p>
      <w:pPr>
        <w:spacing w:after="0"/>
        <w:ind w:left="0"/>
        <w:jc w:val="both"/>
      </w:pPr>
      <w:r>
        <w:rPr>
          <w:rFonts w:ascii="Times New Roman"/>
          <w:b w:val="false"/>
          <w:i w:val="false"/>
          <w:color w:val="000000"/>
          <w:sz w:val="28"/>
        </w:rPr>
        <w:t>
      18. Сейфтік операцияларды жүзеге асыратын ұйыммен жасалатын шартта уәкілетті органға сақтаулы тұрған резервтік көшірмелердің нақты қолда бары мен сақталу жайын тексеруге мүмкіндік беретін талаптар көзделеді.</w:t>
      </w:r>
    </w:p>
    <w:bookmarkEnd w:id="19"/>
    <w:p>
      <w:pPr>
        <w:spacing w:after="0"/>
        <w:ind w:left="0"/>
        <w:jc w:val="both"/>
      </w:pPr>
      <w:r>
        <w:rPr>
          <w:rFonts w:ascii="Times New Roman"/>
          <w:b w:val="false"/>
          <w:i w:val="false"/>
          <w:color w:val="000000"/>
          <w:sz w:val="28"/>
        </w:rPr>
        <w:t>
      Осы тармақ номиналды ұстаушылар болып табылатын екінші деңгейдегі банктерге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Номиналды ұстауға берілген, ұйымдастырылған немесе ұйымдастырылмаған нарықта эмиссиялық бағалы қағаздармен жасалған мәмілелерді номиналды ұстау жүйесінде (орталық депозитарийдің есепке алу жүйесінде) тіркеу тәртібі. Номиналды ұстаушының есепке алу жүйесінде және (немесе) орталық депозитарийдің есепке алу жүйесінде бағалы қағаздарды ұстаушының жеке шотынан үзінді көшірмені беру талаптары мен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"19. Номиналды ұстауға берілген, ұйымдастырылған немесе ұйымдастырылмаған нарықта эмиссиялық бағалы қағаздармен (эмитенттің эмиссиялық бағалы қағаздар жөніндегі міндеттемелері бойынша талап ету құқығымен) жасалған мәмілелерді номиналды ұстауды есепке алу жүйесінде тіркеу жеке шоттар бойынша тиісті операцияларды жүргізу арқылы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"Орталық депозитарийден жеке шоттар бойынша операциялар жүргізілгені жөнінде растау алған күні номиналды ұстаушы мұндай операцияны номиналды ұстауды есепке алу жүйесінде көрсетеді.";</w:t>
      </w:r>
    </w:p>
    <w:bookmarkStart w:name="z62" w:id="20"/>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"6) орталық депозитарийдің есепке алу жүйесінен алынған тiркелген операциялар туралы есептің негізінде жүзеге асырылатын акционерлік қоғамдарды қайта ұйымдастыру кезінде бағалы қағаздарды ұстаушылардың жеке шоттарынан (жеке шоттарына) бағалы қағаздарды есептен шығару (есепке жазу) операциялары;";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"Егер номиналды ұстаушы клиентінің жеке шотында мәмілелер жүргізуге шектеулер белгіленген бағалы қағаздар (эмитенттің эмиссиялық бағалы қағаздар жөніндегі міндеттемелері бойынша талап ету құқығы) тұрса, онда Қағидалардың осы тармағында көрсетілген іс-әрекеттер салынған мұндай шектеулер туралы мәліметтерді орталық депозитарийге бір мезгілде берумен, оларды мұндай бағалы қағаздар (эмитенттің эмиссиялық бағалы қағаздар жөніндегі міндеттемелері бойынша талап ету құқығы) есепке жазылатын жеке шотта міндетті түрде көрсетумен және ол шектеулерді салған адамға ол бойынша салынған шектеулермен мұндай бағалы қағаздарды (эмитенттің эмиссиялық бағалы қағаздар жөніндегі міндеттемелері бойынша талап ету құқығы) одан әрі есепке алу жүзеге асырылатын жеке шоттың жаңа деректемелерін көрсетумен жүргізілген операциялар туралы бір мезгілде хабарлай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"Инвестициялық пай қорының басқарушы компаниясы орталық депозитарийдің есепке алу жүйесінде операцияның орындалғаны туралы орталық депозитарийден растама алған күні тіркеушіге кастодиан растаған, басқарушы компанияның бұйрығында көрсетілген санда пайлардың есепке жазылғаны туралы бұйрық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Жеке шоттар бойынша операцияны жүргізуге бағалы қағаздарды ұстаушылардың бұйрықтарында мынадай мәліметтер қамтылады:</w:t>
      </w:r>
    </w:p>
    <w:p>
      <w:pPr>
        <w:spacing w:after="0"/>
        <w:ind w:left="0"/>
        <w:jc w:val="both"/>
      </w:pPr>
      <w:r>
        <w:rPr>
          <w:rFonts w:ascii="Times New Roman"/>
          <w:b w:val="false"/>
          <w:i w:val="false"/>
          <w:color w:val="000000"/>
          <w:sz w:val="28"/>
        </w:rPr>
        <w:t>
      1) бұйрықты тіркеу нөмірі, күні және уақыты;</w:t>
      </w:r>
    </w:p>
    <w:p>
      <w:pPr>
        <w:spacing w:after="0"/>
        <w:ind w:left="0"/>
        <w:jc w:val="both"/>
      </w:pPr>
      <w:r>
        <w:rPr>
          <w:rFonts w:ascii="Times New Roman"/>
          <w:b w:val="false"/>
          <w:i w:val="false"/>
          <w:color w:val="000000"/>
          <w:sz w:val="28"/>
        </w:rPr>
        <w:t>
      2) эмитенттің немесе инвестициялық пай қорының атауы;</w:t>
      </w:r>
    </w:p>
    <w:p>
      <w:pPr>
        <w:spacing w:after="0"/>
        <w:ind w:left="0"/>
        <w:jc w:val="both"/>
      </w:pPr>
      <w:r>
        <w:rPr>
          <w:rFonts w:ascii="Times New Roman"/>
          <w:b w:val="false"/>
          <w:i w:val="false"/>
          <w:color w:val="000000"/>
          <w:sz w:val="28"/>
        </w:rPr>
        <w:t>
      3) мәмілеге қатысатын тұлғалар туралы мәліметтер;</w:t>
      </w:r>
    </w:p>
    <w:p>
      <w:pPr>
        <w:spacing w:after="0"/>
        <w:ind w:left="0"/>
        <w:jc w:val="both"/>
      </w:pPr>
      <w:r>
        <w:rPr>
          <w:rFonts w:ascii="Times New Roman"/>
          <w:b w:val="false"/>
          <w:i w:val="false"/>
          <w:color w:val="000000"/>
          <w:sz w:val="28"/>
        </w:rPr>
        <w:t>
      4) мәмілеге қатысатын тұлғалардың жеке шоттарының нөмірлері;</w:t>
      </w:r>
    </w:p>
    <w:p>
      <w:pPr>
        <w:spacing w:after="0"/>
        <w:ind w:left="0"/>
        <w:jc w:val="both"/>
      </w:pPr>
      <w:r>
        <w:rPr>
          <w:rFonts w:ascii="Times New Roman"/>
          <w:b w:val="false"/>
          <w:i w:val="false"/>
          <w:color w:val="000000"/>
          <w:sz w:val="28"/>
        </w:rPr>
        <w:t>
      5) бағалы қағаздардың ұлттық сәйкестендіру нөмірі, түрі (эмитенттің эмиссиялық бағалы қағаздар жөніндегі міндеттемелері бойынша талап ету құқықтарының сәйкестендіргіші);</w:t>
      </w:r>
    </w:p>
    <w:p>
      <w:pPr>
        <w:spacing w:after="0"/>
        <w:ind w:left="0"/>
        <w:jc w:val="both"/>
      </w:pPr>
      <w:r>
        <w:rPr>
          <w:rFonts w:ascii="Times New Roman"/>
          <w:b w:val="false"/>
          <w:i w:val="false"/>
          <w:color w:val="000000"/>
          <w:sz w:val="28"/>
        </w:rPr>
        <w:t>
      6) операцияны жүргізуге арналған бағалы қағаздардың (эмитенттің эмиссиялық бағалы қағаздары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бағалы қағаздарға қатысты мәмілелер (операциялар) түріне берілген нұсқау;</w:t>
      </w:r>
    </w:p>
    <w:p>
      <w:pPr>
        <w:spacing w:after="0"/>
        <w:ind w:left="0"/>
        <w:jc w:val="both"/>
      </w:pPr>
      <w:r>
        <w:rPr>
          <w:rFonts w:ascii="Times New Roman"/>
          <w:b w:val="false"/>
          <w:i w:val="false"/>
          <w:color w:val="000000"/>
          <w:sz w:val="28"/>
        </w:rPr>
        <w:t>
      8) кепіл мәмілесін тіркеу кезінде кепіл ұстаушыға берілетін бағалы қағаздар (эмитенттің эмиссиялық бағалы қағаздары жөніндегі міндеттемелері бойынша талап ету құқықтары) бойынша құқықтарға қатысты мәліметтер;</w:t>
      </w:r>
    </w:p>
    <w:p>
      <w:pPr>
        <w:spacing w:after="0"/>
        <w:ind w:left="0"/>
        <w:jc w:val="both"/>
      </w:pPr>
      <w:r>
        <w:rPr>
          <w:rFonts w:ascii="Times New Roman"/>
          <w:b w:val="false"/>
          <w:i w:val="false"/>
          <w:color w:val="000000"/>
          <w:sz w:val="28"/>
        </w:rPr>
        <w:t>
      9) мәміле мәні болып табылатын бір бағалы қағаздың (эмитенттің эмиссиялық бағалы қағаздары жөніндегі міндеттемелері бойынша талап ету құқығының) бағасы туралы мәліметтер;</w:t>
      </w:r>
    </w:p>
    <w:p>
      <w:pPr>
        <w:spacing w:after="0"/>
        <w:ind w:left="0"/>
        <w:jc w:val="both"/>
      </w:pPr>
      <w:r>
        <w:rPr>
          <w:rFonts w:ascii="Times New Roman"/>
          <w:b w:val="false"/>
          <w:i w:val="false"/>
          <w:color w:val="000000"/>
          <w:sz w:val="28"/>
        </w:rPr>
        <w:t>
      10) номиналды ұстаушының ішкі құжаттарында көзделген өзге де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"Банктер туралы заңға сәйкес қайта құрылымдау жүргізілген олардың біреуіне қатысты қосылу нысанында банктерді қайта ұйымдастырған кезде тіркелген тұлғалардың жеке шотынан (шоттарынан) шотына (шоттарына) бағалы қағаздарды есепке алу (есептен шығару) бойынша операциялар жүргізген кезде ауыртпалық бойынша және ауыртпалықты алып тастау жөніндегі операциялар орталық депозитарийдің есепке алу жүйесінде жеке шотынан (қосалқы шотынан) үзінді көшірменің негізінде Бағалы қағаздар нарығы туралы заңның 37-1-бабында белгіленген тәртіпте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Бағалы қағаздарды ұстаушының жеке шотын жабу жөніндегі операцияны номиналды ұстаушы:</w:t>
      </w:r>
    </w:p>
    <w:p>
      <w:pPr>
        <w:spacing w:after="0"/>
        <w:ind w:left="0"/>
        <w:jc w:val="both"/>
      </w:pPr>
      <w:r>
        <w:rPr>
          <w:rFonts w:ascii="Times New Roman"/>
          <w:b w:val="false"/>
          <w:i w:val="false"/>
          <w:color w:val="000000"/>
          <w:sz w:val="28"/>
        </w:rPr>
        <w:t>
      1) клиенттің жеке шотты жабуға бұйрығының негізінде;</w:t>
      </w:r>
    </w:p>
    <w:p>
      <w:pPr>
        <w:spacing w:after="0"/>
        <w:ind w:left="0"/>
        <w:jc w:val="both"/>
      </w:pPr>
      <w:r>
        <w:rPr>
          <w:rFonts w:ascii="Times New Roman"/>
          <w:b w:val="false"/>
          <w:i w:val="false"/>
          <w:color w:val="000000"/>
          <w:sz w:val="28"/>
        </w:rPr>
        <w:t>
      2) егер осы клиентпен номиналды ұстау туралы шартпен өзге мерзім белгіленбесе соңғы он екі айда осы жеке шотта бағалы қағаздар (эмитенттің эмиссиялық бағалы қағаздар жөніндегі міндеттемелері бойынша талап ету құқықтары) болмаған жағдайда;</w:t>
      </w:r>
    </w:p>
    <w:p>
      <w:pPr>
        <w:spacing w:after="0"/>
        <w:ind w:left="0"/>
        <w:jc w:val="both"/>
      </w:pPr>
      <w:r>
        <w:rPr>
          <w:rFonts w:ascii="Times New Roman"/>
          <w:b w:val="false"/>
          <w:i w:val="false"/>
          <w:color w:val="000000"/>
          <w:sz w:val="28"/>
        </w:rPr>
        <w:t>
      3) номиналды ұстаушы ретінде клиенттердің шоттарын жүргізу құқығымен брокерлік және (немесе) дилерлік қызметті жүзеге асыратын бағалы қағаздар нарығына кәсіби қатысушы лицензиясынан айырылған жағдайда клиентке активтер қайтарылған кезде жүргізеді.</w:t>
      </w:r>
    </w:p>
    <w:p>
      <w:pPr>
        <w:spacing w:after="0"/>
        <w:ind w:left="0"/>
        <w:jc w:val="both"/>
      </w:pPr>
      <w:r>
        <w:rPr>
          <w:rFonts w:ascii="Times New Roman"/>
          <w:b w:val="false"/>
          <w:i w:val="false"/>
          <w:color w:val="000000"/>
          <w:sz w:val="28"/>
        </w:rPr>
        <w:t xml:space="preserve">
      Оларға қатысты банкроттық және тарату рәсімі аяқталған заңды тұлғалардың жеке шоттарын жабу бойынша операция және ондай жеке шоттарда бағалы қағаздар болмаған жағдайда, заңды тұлға қызметінің тоқтатылғанын растайтын Бизнес-сәйкестендіру нөмірлерінің ұлттық тізілімінің мәліметтері негізінде жүзеге асырылады. </w:t>
      </w:r>
    </w:p>
    <w:p>
      <w:pPr>
        <w:spacing w:after="0"/>
        <w:ind w:left="0"/>
        <w:jc w:val="both"/>
      </w:pPr>
      <w:r>
        <w:rPr>
          <w:rFonts w:ascii="Times New Roman"/>
          <w:b w:val="false"/>
          <w:i w:val="false"/>
          <w:color w:val="000000"/>
          <w:sz w:val="28"/>
        </w:rPr>
        <w:t>
      Қайтыс болған деп танылған немесе қайтыс болған деп жарияланған жеке тұлғалардың жеке шоттарын жабу бойынша операция және ондай жеке шоттарда бағалы қағаздар болмаған жағдайда, қайтыс болғаны туралы куәліктің және (немесе) тиісті сот шешімінің негізінде жүзеге асырылады.</w:t>
      </w:r>
    </w:p>
    <w:p>
      <w:pPr>
        <w:spacing w:after="0"/>
        <w:ind w:left="0"/>
        <w:jc w:val="both"/>
      </w:pPr>
      <w:r>
        <w:rPr>
          <w:rFonts w:ascii="Times New Roman"/>
          <w:b w:val="false"/>
          <w:i w:val="false"/>
          <w:color w:val="000000"/>
          <w:sz w:val="28"/>
        </w:rPr>
        <w:t>
      Бағалы қағаздарды ұстаушының жеке шоты жабылған кезде клиентке номиналды ұстаушының ішкі құжатында белгіленген нысанда тиісі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Номиналды ұстаушының өзiнiң номиналды ұстауындағы бағалы қағаздары бар клиенттер туралы ақпаратты тіркеушінің, орталық депозитарийдің және эмитенттің талап етуі бойынша табыс ету тәртібі".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