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11c0b" w14:textId="9211c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сараптамалық комиссия жұмысын ұйымдастыруды бекіту туралы" Қазақстан Республикасы Білім және ғылым министрінің 2017 жылғы 9 маусымдағы № 268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13 қарашадағы № 570 бұйрығы. Қазақстан Республикасының Әділет министрлігінде 2017 жылғы 30 қарашада № 16024 болып тіркелді</w:t>
      </w:r>
    </w:p>
    <w:p>
      <w:pPr>
        <w:spacing w:after="0"/>
        <w:ind w:left="0"/>
        <w:jc w:val="both"/>
      </w:pPr>
      <w:bookmarkStart w:name="z9"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"Тәуелсіз сараптамалық комиссия жұмысын ұйымдастыруды бекіту туралы" Қазақстан Республикасының Білім және ғылым министрінің 2017 жылғы 9 маусымдағы № 268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актiлерiнiң мемлекеттiк тізілімінде № 15253 тіркелген, Қазақстан Республикасының нормативтiк құқықтық актiлерiнiң эталондық бақылау банкінде 2017 жылғы 26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тәуелсіз сараптамалық комиссия жұмысын </w:t>
      </w:r>
      <w:r>
        <w:rPr>
          <w:rFonts w:ascii="Times New Roman"/>
          <w:b w:val="false"/>
          <w:i w:val="false"/>
          <w:color w:val="000000"/>
          <w:sz w:val="28"/>
        </w:rPr>
        <w:t>ұйымдастыруда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"12. Комиссия мүшелеріне (мемлекеттік қызметшілерді қоспағанда) үміткерлердің уәждемелік және ұсыным хаттарын бағалау бойынша қызметақы төлеу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(бұдан әрі – № 1193 қаулы)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 Комиссия мүшелерінің (мемлекеттік қызметшілерді қоспағанда) үміткерлермен жеке әңгімелесуді өткізу бойынша көрсеткен қызметтеріне ақы төлеу № 1193 қаулыға сәйкес жүзеге асырылады.";</w:t>
      </w:r>
    </w:p>
    <w:bookmarkStart w:name="z5" w:id="3"/>
    <w:p>
      <w:pPr>
        <w:spacing w:after="0"/>
        <w:ind w:left="0"/>
        <w:jc w:val="both"/>
      </w:pPr>
      <w:r>
        <w:rPr>
          <w:rFonts w:ascii="Times New Roman"/>
          <w:b w:val="false"/>
          <w:i w:val="false"/>
          <w:color w:val="000000"/>
          <w:sz w:val="28"/>
        </w:rPr>
        <w:t xml:space="preserve">
      тәуелсіз сараптамалық комиссия жұмысын ұйымдастыруға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Білім және ғылым министрлігінің Заң қызметі және халықаралық ынтымақтастық департаменті (Н.А. Байжанов) Қазақстан Республикасы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11" w:id="6"/>
    <w:p>
      <w:pPr>
        <w:spacing w:after="0"/>
        <w:ind w:left="0"/>
        <w:jc w:val="both"/>
      </w:pPr>
      <w:r>
        <w:rPr>
          <w:rFonts w:ascii="Times New Roman"/>
          <w:b w:val="false"/>
          <w:i w:val="false"/>
          <w:color w:val="000000"/>
          <w:sz w:val="28"/>
        </w:rPr>
        <w:t xml:space="preserve">
      2) осы бұйрық мемлекеттік тіркеуден өткеннен кейін күнтізбелік он күн ішінде осы бұйрықтың қазақ және орыс тілдеріндегі қағаз және электронды түрдегі көшірмелерін ресми жариялау және Қазақстан Республикасы нормативтiк құқықтық актiлерiнiң эталондық бақылау банкiне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bookmarkEnd w:id="6"/>
    <w:bookmarkStart w:name="z12" w:id="7"/>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осы бұйрықтың көшірмесін ресми жариялау үшін мерзімді баспа басылымдарына жолдауды;</w:t>
      </w:r>
    </w:p>
    <w:bookmarkEnd w:id="7"/>
    <w:bookmarkStart w:name="z13" w:id="8"/>
    <w:p>
      <w:pPr>
        <w:spacing w:after="0"/>
        <w:ind w:left="0"/>
        <w:jc w:val="both"/>
      </w:pPr>
      <w:r>
        <w:rPr>
          <w:rFonts w:ascii="Times New Roman"/>
          <w:b w:val="false"/>
          <w:i w:val="false"/>
          <w:color w:val="000000"/>
          <w:sz w:val="28"/>
        </w:rPr>
        <w:t>
      4) осы бұйрық ресми жарияланғаннан кейін Қазақстан Республикасының Білім және ғылым министрлігінің интернет-ресурсында орналастыруды қамтамасыз етсін.</w:t>
      </w:r>
    </w:p>
    <w:bookmarkEnd w:id="8"/>
    <w:bookmarkStart w:name="z14" w:id="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 А. Асыловаға жүктелсін.</w:t>
      </w:r>
    </w:p>
    <w:bookmarkEnd w:id="9"/>
    <w:bookmarkStart w:name="z15" w:id="10"/>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13 қарашадағы</w:t>
            </w:r>
            <w:r>
              <w:br/>
            </w:r>
            <w:r>
              <w:rPr>
                <w:rFonts w:ascii="Times New Roman"/>
                <w:b w:val="false"/>
                <w:i w:val="false"/>
                <w:color w:val="000000"/>
                <w:sz w:val="20"/>
              </w:rPr>
              <w:t xml:space="preserve">№ 570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Тәуелсіз сараптамалық комиссия</w:t>
            </w:r>
            <w:r>
              <w:br/>
            </w:r>
            <w:r>
              <w:rPr>
                <w:rFonts w:ascii="Times New Roman"/>
                <w:b w:val="false"/>
                <w:i w:val="false"/>
                <w:color w:val="000000"/>
                <w:sz w:val="20"/>
              </w:rPr>
              <w:t>жұмысын ұйымдастыруға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 w:id="11"/>
    <w:p>
      <w:pPr>
        <w:spacing w:after="0"/>
        <w:ind w:left="0"/>
        <w:jc w:val="left"/>
      </w:pPr>
      <w:r>
        <w:rPr>
          <w:rFonts w:ascii="Times New Roman"/>
          <w:b/>
          <w:i w:val="false"/>
          <w:color w:val="000000"/>
        </w:rPr>
        <w:t xml:space="preserve"> Бағалау өлшемшарттары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3"/>
        <w:gridCol w:w="10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Уәждемелік хат</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Уәждеме деңгейі.</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Уәждеме деңгейі толығымен ашылған (атап айтқанда, кәсіби, жеке мақсаттар, біліктіліктер, келешек; шетелде оқу аясында даярлану барысында алынған тәжірибені пайдаланып, қандай мәселе немесе міндет шешілуі қажет). Коммуникативтік ниет байқалады.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Уәждеме деңгейі үстіртін ашылған, коммуникативтік ниет байқалады.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Уәждеме деңгейі ашылмаған, жауап мазмұны оның уәждеме деңгейі жөнінде түсінік бермейді.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Дәлелдеме.</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мен мысалдар әртүрлі дереккөздерден алынған: академиялық ғылыми әдебиет, бұқаралық ақпарат құралдары ақпараты, оқу әдебиеті материалдары, жеке әлеуметтік тәжірибе мен өз бақылаулары қолданылады (әртүрлі дереккөздерден кем дегенде 2 мысал келтірілген).</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 тек қана жеке әлеуметтік тәжірибеге және өз бақылауларына сүйене отырып берілген немесе мысал(дар) бірсарынды дереккөзден келтірілген.</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 жоқ немесе келтірілген деректер дәлелденетін тақырыпқа сәйкес келмейді.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Ойлау логикасы.</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Пікірлерді баяндау қисындылығымен және бөлімдерінің мөлшерлестігімен ерекшеленеді, мағыналық бөлімдер ішінде бірізділік бұзушылықтары мен негізсіз қайталанымдар жоқ.</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Уәждемелік хат бөлімдері өзара қисынды байланысқан, бірақ мағыналық бөлімдер ішінде бірізділік жоқ және/немесе ой қайталанып, дамымайды.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Қисындылықтың өрескел бұзушылықтары жазылғанның мағынасын түсінуге кедергі жасайды немесе уәждемелік хаттың бөлімдері өзара қисынды байланысты емес.</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Сөз сапасы.</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түрлі грамматикалық құрылымдар мен әртүрлі лексиканы пайдалана отырып, ойын нақты жеткізеді, қажет болған жағдайда терминдерді орынды қолданады, даяр сөз орамдарына (штамптар) жол бермейді.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ойын нақты жеткізеді, бірақ оның тілі сөздік қоры кедейлігімен және тілдің грамматикалық құрылымының біртектілігімен сипатталады.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сапасының төмендігі оның мағынасын түсінуді елеулі түрде қиындатады.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Біртумалық.</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уәждемені ашу үшін ерекше шығармашылық тұрғыны (қызықты ойлар байқалады немесе күтпеген және сонымен бірге, сендірерлік дәлелдер немесе жаңа бақылаулар және т.б.) немесе стиль жарқындылығын көрсетеді.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уәждемені ашудың қалыпты тәсілдемесін қолданады, жалпыға мәлім деректерді пайдаланады, сонымен бірге айтарлықтай сендірерлік дәлелдерді келтіреді.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өздігінен ойлануды және/немесе шығармашылық, ерекше әдісті және/немесе стиль біртумалылығын көрсетпейді.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 хат</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Ұсыным берушінің бағасы.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 беруші ретінде үміткермен ұзақ уақыт аралығында таныс (оқытушы, ғылыми жетекші, әріптес) және үміткер таңдаған мамандық бойынша біліктілігінің деңгейі жеткілікті болған тұлға болады.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 беруші ретінде үміткермен ұзақ уақыт аралығында тікелей таныстықта болмаған, бірақ үміткер таңдаған мамандық бойынша біліктілігінің деңгейі жеткілікті болған тұлға болады.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 беруші ретінде үміткер таңдаған мамандық бойынша біліктілігінің деңгейі жеткіліксіз болған тұлға болады.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Мінездеме.</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жетістіктері мен табыстарын, сондай-ақ кәсіби және жеке қасиеттері жайлы ақпаратты қамтиды, таңдаған мамандығына қатысты қызметті жүзеге асыру бойынша мысалдар (жағдайлар) келтірілген.</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түрде толық және нақты, онда үміткердің дағдыларына және жетістіктеріне, қасиеттеріне қатысты пікірлер берілген және мысалдармен (жағдайлармен) бекітілген.</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барлық мүмкінді сипаттары мысалдар (жағдайлар) келтірілмей және/немесе біліктіліктер (жетістіктер) көрсетілмей берілген және таңдалған мамандыққа қатысты емес.</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Ұсыным беруші дәлелдемесі мен әділдігінің деңгейі.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 беруші үміткердің таңдаған мамандануының өзектілігін оның болашақта көрсетілген тақырыптағы маңызды мәселелерді шешу үшін қажеттілігінің ерекшелігін дәлелдеумен ашып көрсетеді. Үміткердің бағасында оқудың нақты бағдарламасын зерттеуге қойылатын арнайы талаптар ескеріледі.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 үміткердің жеке және кәсіби қасиеттері негізінен шығады.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 ештеңемен расталмаған мақтаудан тұрады.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