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e96b" w14:textId="c73e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бекіту туралы" Қазақстан Республикасы Денсаулық сақтау және әлеуметтік даму министрінің 2015 жылғы 29 мамырдағы № 429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25 тамыздағы № 643 бұйрығы. Қазақстан Республикасының Әділет министрлігінде 2017 жылғы 27 қыркүйекте № 15759 болып тіркелді. Күші жойылды - Қазақстан Республикасы Денсаулық сақтау министрінің 2020 жылғы 15 желтоқсандағы № ҚР ДСМ-278/2020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000000"/>
          <w:sz w:val="28"/>
        </w:rPr>
        <w:t>№ ҚР ДСМ-278/2020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бекіту туралы" Қазақстан Республикасы Денсаулық сақтау және әлеуметтік даму министрінің 2015 жылғы 29 мамырдағы № 429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11526 болып тіркелген, "Әділет" ақпараттық-құқықтық жүйесінде 2015 жылғы 22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 (бұдан әрі – Қағидалар)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субъектісінің (бұдан әрі – денсаулық сақтау субъектісі) жұмыскерлерін көтермелеу тәртібін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субъектілерінде (бұдан әрі – МСАК субъектісі) кешенді жан басына шаққандағы нормативтің ынталандырушы компонентінің (бұдан әрі – КЖНЫК) қаражаты есебінен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КЖНЫК МСАК көрсететін амбулаториялық-емханалық ұйымдардың мынадай қызметкерлеріне (бұдан әрі – МСАК қызметкерлері) төленеді:</w:t>
      </w:r>
    </w:p>
    <w:bookmarkStart w:name="z10" w:id="4"/>
    <w:p>
      <w:pPr>
        <w:spacing w:after="0"/>
        <w:ind w:left="0"/>
        <w:jc w:val="both"/>
      </w:pPr>
      <w:r>
        <w:rPr>
          <w:rFonts w:ascii="Times New Roman"/>
          <w:b w:val="false"/>
          <w:i w:val="false"/>
          <w:color w:val="000000"/>
          <w:sz w:val="28"/>
        </w:rPr>
        <w:t>
      1) аумақтық учаске жағдайында қызметтер көрсететін қызметкерлер:</w:t>
      </w:r>
    </w:p>
    <w:bookmarkEnd w:id="4"/>
    <w:p>
      <w:pPr>
        <w:spacing w:after="0"/>
        <w:ind w:left="0"/>
        <w:jc w:val="both"/>
      </w:pPr>
      <w:r>
        <w:rPr>
          <w:rFonts w:ascii="Times New Roman"/>
          <w:b w:val="false"/>
          <w:i w:val="false"/>
          <w:color w:val="000000"/>
          <w:sz w:val="28"/>
        </w:rPr>
        <w:t>
      жалпы практика дәрігерлері, учаскелік терапевтер мен педиатрлар, акушер-гинекологтар;</w:t>
      </w:r>
    </w:p>
    <w:p>
      <w:pPr>
        <w:spacing w:after="0"/>
        <w:ind w:left="0"/>
        <w:jc w:val="both"/>
      </w:pPr>
      <w:r>
        <w:rPr>
          <w:rFonts w:ascii="Times New Roman"/>
          <w:b w:val="false"/>
          <w:i w:val="false"/>
          <w:color w:val="000000"/>
          <w:sz w:val="28"/>
        </w:rPr>
        <w:t>
      жалпы практика және учаскелік қызметтің мейіргерлері, фельдшерлер, аумақтық учаске жағдайында медициналық қызметтер көрсететін акушерлер;</w:t>
      </w:r>
    </w:p>
    <w:p>
      <w:pPr>
        <w:spacing w:after="0"/>
        <w:ind w:left="0"/>
        <w:jc w:val="both"/>
      </w:pPr>
      <w:r>
        <w:rPr>
          <w:rFonts w:ascii="Times New Roman"/>
          <w:b w:val="false"/>
          <w:i w:val="false"/>
          <w:color w:val="000000"/>
          <w:sz w:val="28"/>
        </w:rPr>
        <w:t>
      әлеуметтік қызметкерлер мен психологтар;</w:t>
      </w:r>
    </w:p>
    <w:bookmarkStart w:name="z11" w:id="5"/>
    <w:p>
      <w:pPr>
        <w:spacing w:after="0"/>
        <w:ind w:left="0"/>
        <w:jc w:val="both"/>
      </w:pPr>
      <w:r>
        <w:rPr>
          <w:rFonts w:ascii="Times New Roman"/>
          <w:b w:val="false"/>
          <w:i w:val="false"/>
          <w:color w:val="000000"/>
          <w:sz w:val="28"/>
        </w:rPr>
        <w:t xml:space="preserve">
      2) МСАК көрсететін амбулаториялық-емханалық ұйымдардың медицина қызметкерлері: </w:t>
      </w:r>
    </w:p>
    <w:bookmarkEnd w:id="5"/>
    <w:p>
      <w:pPr>
        <w:spacing w:after="0"/>
        <w:ind w:left="0"/>
        <w:jc w:val="both"/>
      </w:pPr>
      <w:r>
        <w:rPr>
          <w:rFonts w:ascii="Times New Roman"/>
          <w:b w:val="false"/>
          <w:i w:val="false"/>
          <w:color w:val="000000"/>
          <w:sz w:val="28"/>
        </w:rPr>
        <w:t>
      дербес Отбасы денсаулығы орталығының немесе дәрігерлік амбулаторияның басшысы, жалпы дәрігерлік практика бөлімшелерінің меңгерушілері мен аға мейіргерлері, учаскелік қызмет бөлімшелерінің меңгерушілері мен аға мейіргерлері, акушерлік-гинекологиялық бөлімшелердің (кабинеттердің) меңгерушілері мен аға мейіргерлері;</w:t>
      </w:r>
    </w:p>
    <w:p>
      <w:pPr>
        <w:spacing w:after="0"/>
        <w:ind w:left="0"/>
        <w:jc w:val="both"/>
      </w:pPr>
      <w:r>
        <w:rPr>
          <w:rFonts w:ascii="Times New Roman"/>
          <w:b w:val="false"/>
          <w:i w:val="false"/>
          <w:color w:val="000000"/>
          <w:sz w:val="28"/>
        </w:rPr>
        <w:t>
      Отбасы денсаулығы орталығының профилактика және әлеуметтік-психологиялық көмек бөлімшесінің қызметкерлері (дәрігерлер мен орта медицина персоналы).";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түпкілікті нәтиже индикаторларының мәндеріне әсер ететін,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субъектісі қызметінің процесс индикаторларының ұсыным жасалған тізбесі ескерілген процесс индикаторларын комиссиямен және пациентті қолдау мен ішкі бақылау (аудит) қызметімен келісу бойынша МСАК субъектісінің басшысы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"37. Пациентті қолдау мен ішкі бақылау (аудит) қызметі МСАК субъектісі бойынша және аумақтық учаскелер бөлінісінде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түпкілікті нәтиже индикаторларының мәніне әсер ететін процесс индикаторларына қол жеткізу бойынша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субъектісінің есепті кезеңдегі қызметінің нәтижелерін орналастырады және есепті кезеңнен кейінгі айдың 15-күніне дейінгі мерзімде ЖБНҚК-та растайды.";</w:t>
      </w:r>
    </w:p>
    <w:bookmarkStart w:name="z14"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5"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 мынадай редакцияда жазылсын:</w:t>
      </w:r>
    </w:p>
    <w:bookmarkEnd w:id="7"/>
    <w:bookmarkStart w:name="z16" w:id="8"/>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2-қосымша";</w:t>
      </w:r>
    </w:p>
    <w:bookmarkEnd w:id="8"/>
    <w:bookmarkStart w:name="z17"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 xml:space="preserve"> оң жақтағы жоғарғы бұрыш мынадай редакцияда жазылсын:</w:t>
      </w:r>
    </w:p>
    <w:bookmarkEnd w:id="9"/>
    <w:bookmarkStart w:name="z18" w:id="10"/>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3-қосымша";</w:t>
      </w:r>
    </w:p>
    <w:bookmarkEnd w:id="10"/>
    <w:bookmarkStart w:name="z19"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11"/>
    <w:bookmarkStart w:name="z20"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оң жақтағы жоғарғы бұрыш мынадай редакцияда жазылсын:</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5-қосымша";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"Түпкілікті нәтиже индикаторының мәндеріне әсер ететін процесс индикаторларына қол жеткізу бойынша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субъектісі қызметінің нәтижелері";</w:t>
      </w:r>
    </w:p>
    <w:bookmarkStart w:name="z22"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 xml:space="preserve"> оң жақтағы жоғарғы бұрыш мынадай редакцияда жазылсын:</w:t>
      </w:r>
    </w:p>
    <w:bookmarkEnd w:id="13"/>
    <w:bookmarkStart w:name="z23" w:id="14"/>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6-қосымша";</w:t>
      </w:r>
    </w:p>
    <w:bookmarkEnd w:id="14"/>
    <w:bookmarkStart w:name="z24"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7-қосымшада</w:t>
      </w:r>
      <w:r>
        <w:rPr>
          <w:rFonts w:ascii="Times New Roman"/>
          <w:b w:val="false"/>
          <w:i w:val="false"/>
          <w:color w:val="000000"/>
          <w:sz w:val="28"/>
        </w:rPr>
        <w:t xml:space="preserve"> оң жақтағы жоғарғы бұрыш мынадай редакцияда жазылсын:</w:t>
      </w:r>
    </w:p>
    <w:bookmarkEnd w:id="15"/>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7-қосымша";</w:t>
      </w:r>
    </w:p>
    <w:bookmarkStart w:name="z25"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8-қосымшада</w:t>
      </w:r>
      <w:r>
        <w:rPr>
          <w:rFonts w:ascii="Times New Roman"/>
          <w:b w:val="false"/>
          <w:i w:val="false"/>
          <w:color w:val="000000"/>
          <w:sz w:val="28"/>
        </w:rPr>
        <w:t xml:space="preserve"> оң жақтағы жоғарғы бұрыш мынадай редакцияда жазылсын:</w:t>
      </w:r>
    </w:p>
    <w:bookmarkEnd w:id="16"/>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8-қосымша";</w:t>
      </w:r>
    </w:p>
    <w:bookmarkStart w:name="z26"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9-қосымшада</w:t>
      </w:r>
      <w:r>
        <w:rPr>
          <w:rFonts w:ascii="Times New Roman"/>
          <w:b w:val="false"/>
          <w:i w:val="false"/>
          <w:color w:val="000000"/>
          <w:sz w:val="28"/>
        </w:rPr>
        <w:t xml:space="preserve"> оң жақтағы жоғарғы бұрыш мынадай редакцияда жазылсын:</w:t>
      </w:r>
    </w:p>
    <w:bookmarkEnd w:id="17"/>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9-қосымша".</w:t>
      </w:r>
    </w:p>
    <w:bookmarkStart w:name="z27" w:id="18"/>
    <w:p>
      <w:pPr>
        <w:spacing w:after="0"/>
        <w:ind w:left="0"/>
        <w:jc w:val="both"/>
      </w:pPr>
      <w:r>
        <w:rPr>
          <w:rFonts w:ascii="Times New Roman"/>
          <w:b w:val="false"/>
          <w:i w:val="false"/>
          <w:color w:val="000000"/>
          <w:sz w:val="28"/>
        </w:rPr>
        <w:t>
      2. Қазақстан Республикасы Денсаулық сақтау министрлігінің Жобаларды басқару департаменті заңнамада белгіленген тәртіппен:</w:t>
      </w:r>
    </w:p>
    <w:bookmarkEnd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 қазақ және орыс тілдеріндегі қағаздағы және электрондық түрінде ресми жариялау және Қазақстан Республикасының Нормативтік құқықтық актілердің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бұйрықты Қазақстан Республикасы Денсаулық сақтау министрлігінің интернет-ресурсында орналастыруды; </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28" w:id="1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9"/>
    <w:bookmarkStart w:name="z29" w:id="20"/>
    <w:p>
      <w:pPr>
        <w:spacing w:after="0"/>
        <w:ind w:left="0"/>
        <w:jc w:val="both"/>
      </w:pPr>
      <w:r>
        <w:rPr>
          <w:rFonts w:ascii="Times New Roman"/>
          <w:b w:val="false"/>
          <w:i w:val="false"/>
          <w:color w:val="000000"/>
          <w:sz w:val="28"/>
        </w:rPr>
        <w:t xml:space="preserve">
      4. Осы бұйрық 2018 жылғы 1 қаңтардан бастап қолданысқа енгізіледі және ресми жариялануға тиіс. </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25 тамыздағы</w:t>
            </w:r>
            <w:r>
              <w:br/>
            </w:r>
            <w:r>
              <w:rPr>
                <w:rFonts w:ascii="Times New Roman"/>
                <w:b w:val="false"/>
                <w:i w:val="false"/>
                <w:color w:val="000000"/>
                <w:sz w:val="20"/>
              </w:rPr>
              <w:t>№ 643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медициналық қызметтер</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субъектілерінің жұмыскерлерін</w:t>
            </w:r>
            <w:r>
              <w:br/>
            </w:r>
            <w:r>
              <w:rPr>
                <w:rFonts w:ascii="Times New Roman"/>
                <w:b w:val="false"/>
                <w:i w:val="false"/>
                <w:color w:val="000000"/>
                <w:sz w:val="20"/>
              </w:rPr>
              <w:t>көтермелеу қағидаларына</w:t>
            </w:r>
            <w:r>
              <w:br/>
            </w:r>
            <w:r>
              <w:rPr>
                <w:rFonts w:ascii="Times New Roman"/>
                <w:b w:val="false"/>
                <w:i w:val="false"/>
                <w:color w:val="000000"/>
                <w:sz w:val="20"/>
              </w:rPr>
              <w:t>1-қосымша</w:t>
            </w:r>
          </w:p>
        </w:tc>
      </w:tr>
    </w:tbl>
    <w:bookmarkStart w:name="z31" w:id="21"/>
    <w:p>
      <w:pPr>
        <w:spacing w:after="0"/>
        <w:ind w:left="0"/>
        <w:jc w:val="left"/>
      </w:pPr>
      <w:r>
        <w:rPr>
          <w:rFonts w:ascii="Times New Roman"/>
          <w:b/>
          <w:i w:val="false"/>
          <w:color w:val="000000"/>
        </w:rPr>
        <w:t xml:space="preserve"> Денсаулық сақтау субъектісінің медицина қызметкерлерінің қызметін бағалау өлшемшарттары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212"/>
        <w:gridCol w:w="8604"/>
        <w:gridCol w:w="91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құқықтарының бұзылуына байланысты негізделген жазбаша және ауызша шағымдардың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келушілерді қабылдау журналы, азаматтардың жазбаша өтініштерін есепке алу журналы, Қазақстан Республикасы Денсаулық сақтау министрінің блогына өтініштер, ҚДСК АД-ның тексеру парақтары мен актілері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мен диагностикалау нәтижесінде туындаған алдын алуға болатын өліммен аяқталған жағдайлардың, асқынулардың, оның ішінде пациенттің мүгедектігіне әкелген жағдайлардың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статистикалық карталары, пациентті қолдау мен ішкі бақылау (аудит) қызметінің басшысы бекіткен бөлімше меңгерушісінің немесе комиссияның қорытындысы, сараптамалық тексеріс актілері, ӨЖЗК* отырыстарының хаттамалары және ҚДСҚК АД-ның тексеру парақтары мен актілері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нәтижесі бойынша бұзушылықтардың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АД-ның тексеру парақтары мен актілері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қайта жоспарланбаған келіп түсу жағдайларының болуы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осы және басқа да стационарларына дәл бір ауру себебі бойынша жазылып шыққан күннен бастап бір айдың ішінде қайта емдеуге жатқызу жағдайлары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диагноздардың қайшы келу жағдайларының болуы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зерттеудің хаттамасы мен патологиялық-анатомиялық конференция отырысының хаттамасы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технологиялық медициналық көрсетілетін қызметтер (бұдан әрі – ЖТМҚ) енгізу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электрондық тіркелімі</w:t>
            </w:r>
            <w:r>
              <w:br/>
            </w:r>
            <w:r>
              <w:rPr>
                <w:rFonts w:ascii="Times New Roman"/>
                <w:b w:val="false"/>
                <w:i w:val="false"/>
                <w:color w:val="000000"/>
                <w:sz w:val="20"/>
              </w:rPr>
              <w:t>
Алдыңғы жылдың ұқсас кезеңімен салыстырғанда есепті кезеңде орындалған ЖТМҚ-ның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шығаратын науқастарды емдеу процесінде қақырық жағындысының конверсиясына қол жеткізу**</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медициналық картасы, Туберкулезбен ауыратын науқастардың ұлттық тіркелімі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туберкулезге қарсы препараттарды қабылдауды өткізіп алмауы**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медициналық картасы, Туберкулезбен ауыратын науқастардың ұлттық тіркелімі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 аборт жасау жағдайлары</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науқастардың электрондық тіркелімі: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 066/е нысанды статистикалық карта (бұдан әрі – СНЭТ: № 066/е нысаны);</w:t>
            </w:r>
            <w:r>
              <w:br/>
            </w:r>
            <w:r>
              <w:rPr>
                <w:rFonts w:ascii="Times New Roman"/>
                <w:b w:val="false"/>
                <w:i w:val="false"/>
                <w:color w:val="000000"/>
                <w:sz w:val="20"/>
              </w:rPr>
              <w:t xml:space="preserve">
Автоматтандырылыған ақпараттық жүйе – Емхана: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025-5/е нысан амбулаториялық пациенттің медициналық картасы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аз</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ішінен қант диабетінің асқынуларымен емдеуге жатқызылған науқастарды емдеуге жатқызу деңгейі</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 066/е нысаны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ішінен созылмалы расталған темір тапшылығы</w:t>
            </w:r>
            <w:r>
              <w:br/>
            </w:r>
            <w:r>
              <w:rPr>
                <w:rFonts w:ascii="Times New Roman"/>
                <w:b w:val="false"/>
                <w:i w:val="false"/>
                <w:color w:val="000000"/>
                <w:sz w:val="20"/>
              </w:rPr>
              <w:t>
анемиясымен емдеуге жатқызылған науқастарды емдеуге жатқызу деңгейі</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 066/е нысаны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r>
    </w:tbl>
    <w:bookmarkStart w:name="z32" w:id="22"/>
    <w:p>
      <w:pPr>
        <w:spacing w:after="0"/>
        <w:ind w:left="0"/>
        <w:jc w:val="both"/>
      </w:pPr>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
      *ӨЖЗК – өлім жағдайларын зерттеу жөніндегі комиссия;</w:t>
      </w:r>
    </w:p>
    <w:p>
      <w:pPr>
        <w:spacing w:after="0"/>
        <w:ind w:left="0"/>
        <w:jc w:val="both"/>
      </w:pPr>
      <w:r>
        <w:rPr>
          <w:rFonts w:ascii="Times New Roman"/>
          <w:b w:val="false"/>
          <w:i w:val="false"/>
          <w:color w:val="000000"/>
          <w:sz w:val="28"/>
        </w:rPr>
        <w:t>
      **туберкулезге қарсы ұйымдарға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25 тамыздағы</w:t>
            </w:r>
            <w:r>
              <w:br/>
            </w:r>
            <w:r>
              <w:rPr>
                <w:rFonts w:ascii="Times New Roman"/>
                <w:b w:val="false"/>
                <w:i w:val="false"/>
                <w:color w:val="000000"/>
                <w:sz w:val="20"/>
              </w:rPr>
              <w:t>№ 643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медициналық қызметтер</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субъектілерінің жұмыскерлерін</w:t>
            </w:r>
            <w:r>
              <w:br/>
            </w:r>
            <w:r>
              <w:rPr>
                <w:rFonts w:ascii="Times New Roman"/>
                <w:b w:val="false"/>
                <w:i w:val="false"/>
                <w:color w:val="000000"/>
                <w:sz w:val="20"/>
              </w:rPr>
              <w:t>көтермелеу қағидаларына</w:t>
            </w:r>
            <w:r>
              <w:br/>
            </w:r>
            <w:r>
              <w:rPr>
                <w:rFonts w:ascii="Times New Roman"/>
                <w:b w:val="false"/>
                <w:i w:val="false"/>
                <w:color w:val="000000"/>
                <w:sz w:val="20"/>
              </w:rPr>
              <w:t>4-қосымша</w:t>
            </w:r>
          </w:p>
        </w:tc>
      </w:tr>
    </w:tbl>
    <w:bookmarkStart w:name="z34" w:id="23"/>
    <w:p>
      <w:pPr>
        <w:spacing w:after="0"/>
        <w:ind w:left="0"/>
        <w:jc w:val="left"/>
      </w:pPr>
      <w:r>
        <w:rPr>
          <w:rFonts w:ascii="Times New Roman"/>
          <w:b/>
          <w:i w:val="false"/>
          <w:color w:val="000000"/>
        </w:rPr>
        <w:t xml:space="preserve"> Түпкілікті нәтиже индикаторларының мәндеріне әсер ететін,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субъектісі қызметінің процесс индикаторларының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0"/>
        <w:gridCol w:w="5285"/>
        <w:gridCol w:w="2045"/>
      </w:tblGrid>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индикаторларының атауы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тәртібі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деңгейінде алдын алуға</w:t>
            </w:r>
            <w:r>
              <w:br/>
            </w:r>
            <w:r>
              <w:rPr>
                <w:rFonts w:ascii="Times New Roman"/>
                <w:b w:val="false"/>
                <w:i w:val="false"/>
                <w:color w:val="000000"/>
                <w:sz w:val="20"/>
              </w:rPr>
              <w:t>
болатын ана өлімі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диспансерлік есепке тұру үшін ерте келу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аптаға дейінгі есепке алынған жүкті әйелдердің саны/есепке алынған жүкті әйелдердің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қарап-тексерген 12 аптаға дейінгі жүкті әйелдердің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қарап-тексерген 12 аптаға дейінгі жүкті әйелдердің саны/терапевт қарап-тексерген жүкті әйелдердің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Эклампсиясы және преэклампсиясы бар жүкті әйелдерді және (немесе) босанатын әйелдерді емдеуге жатқызу жағдайлары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эклампсиясы және преэклампсиясы бар жүкті әйелдердің және (немесе) босанатын әйелдердің саны/емдеуге жатқызылған жүкті әйелдердің және (немесе) босанатын әйелдердің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аурулар (бұдан әрі – ЭГА) бойынша жүктілікке қарсы көрсетілімдер бар фертильді жастағы әйелдерді (бұдан әрі – ФЖӘ) контрацепциямен қамту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Контрацепциямен қамтылған ЭГЗ бойынша жүктілікке қарсы көрсетілімдер бар ФЖӘ-нің саны/ ЭГЗ бойынша жүктілікке қарсы көрсетілімдер бар ФЖӘ-нің жалпы саны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Экстрагениталдық аурулар бойынша жүктілікке қарсы көрсетілімдері бар фертильді жастағы әйелдердің арасында жүкті әйелдердің санын төмендету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халық арасында экстрагениталдық аурулар бойынша жүктілікке қарсы көрсетілімдері бар ФЖӘ арасындағы жүкті әйелдердің саны / Есепті кезеңде бекітілген халық арасында экстрагениталдық аурулар бойынша жүктілікке қарсы көрсетілімдері бар ФЖӘ саны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төмендету</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бұрын босану санын төмендету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халық арасындағы мерзімнен бұрын босану саны/Есепті кезеңде бекітілген халық арасындағы босану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төмендету</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 пренаталды скринингпен қамту (жүктіліктің І триместріндегі ана қанының сарысуы маркерлерін айқындау, І, ІІ, ІІІ триместерлердегі ультрадыбыстық скрининг)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 әйелдердің ішінен пренаталды скринингпен қамтылғандардың саны/ есепті кезеңдегі босанған әйелдердің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 аборт жасау жағдайлары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халықтың арасында 18 жасқа дейінгі жасөспірімдердің аборт саны /алдыңғы есепті кезеңде бекітілген халықтың арасында 18 жасқа дейінгі қыздардың саны*1000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Медициналық-санитариялық алғашқы көмек деңгейінде алдын алуға болатын 7 күннен бастап 5 жасқа дейінгі балалардың өлімі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емшек сүтімен ғана қоректенетін 6 айға дейінгі балалардың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көрсетілімдері болмаған жағдайда тек емшек сүтімен қоректенетін 6 айға дейінгі балалардың саны/6 айға дейінгі балалардың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ЖІИ* бар, емдеуге жатқызылған 5 жасқа дейінгі балалардың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ЖІИ бар, стационарға емдеуге жатқызылған 5 жасқа дейінгі балалардың саны/ ЖІИ-мен тіркелген 5 жасқа дейінгі балалардың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БШАЫЕ бағдарламасына оқытылған МСАК медицина қызметкерлерінің (дәрігерлер мен орта медицина персоналының)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БШАЫЕ бағдарламасына оқытылған МСАК медицина қызметкерлерінің (дәрігерлер мен орта медицина персоналының) саны/ МСАК медицина қызметкерлерінің (дәрігерлер мен орта медицина персоналының)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бастап 1 жасқа дейінгі қайтыс болған балалардың саны/тірі туғандардың саны*1000 (көрсеткіш)</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мемлекеттік бағдарламасының нысаналы индикаторларына сәйкес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Асқынған ЖРИ*** бар, емдеуге жатқызылған 5 жасқа дейінгі балалардың үлес салмағы</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ЖРИ бар, емдеуге жатқызылған 5 жасқа дейінгі балалардың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ЖРИ бар, стационарға емдеуге жатқызылған 5 жасқа дейінгі балалардың саны/ ЖРИ-мен тіркелген 5 жасқа дейінгі балалардың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Перзентханадан жазылып шыққаннан кейін алғашқы 3 тәулікте нәрестелерді патронаждық барумен қамту</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Перзентханадан жазылып шыққаннан кейін алғашқы 3 тәулікте нәрестелерді патронаждық барумен қамту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жазылып шыққаннан кейін алғашқы 3 тәулікте патронаждық барумен қамтылған нәрестелердің саны/есепті кезеңдегі перзентханадан жазылып шыққан нәрестелердің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Уақтылы диагностикаланған өкпе туберкулезі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"қауіп" тобынан флюорографиялық қарап-тексерілгендердің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"қауіп" тобынан флюорографиялық қарап-тексерілгендердің саны/қалыптасқан "қауіп" тобы,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"қауіп" тобынан Манту сынамасымен қарап-тексерілгендердің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Қалыптасқан "қауіп" тобынан Манту сынамасымен қарап-тексерілгендердің саны/ қалыптасқан "қауіп" тобы, %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бактерия шығаратын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бактерия шығаратын адамдардың саны/қақырықтың микроскопиясына жіберілген өкпе туберкулезіне күдігі бар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жағдайларында ем алатын науқастарда туберкулезге қарсы препараттарды қабылдауды өткізіп алуы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арасында МСАК жағдайларында бір де бір өткізіп алмай бақыланатын туберкулезге қарсы ем алатын туберкулезбен ауыратын науқастардың саны/ Бекітілген халықтың арасында МСАК жағдайларында туберкулезге қарсы ем алатын туберкулезбен ауыратын науқастардың жалпы саны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Сүт безі мен жатыр мойны қатерлі ісіктерін қоспағанда, 0-1 кезеңдік көзге көрінетін жердегі алғаш анықталған қатерлі ісік жағдайлары. Алғаш анықталған 0-2 а сүт безі обыры (Т0-T2N0M0), 1-2 а жатыр мойны обыры (T1-T2N0M0) жағдайлары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Скринингтердің көрсеткіштері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зерттеп-қараудан өткендерден анықталған ЖМО-мен ауыратын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ЖМО-мен ауыратын науқастардың саны / ЖМО-ны анықтауға арналған зерттеп-қараудан өткен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0,02-0,03</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зерттеп-қараудан өткендерден анықталған СБО-мен ауыратын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СБО-мен ауыратын науқастардың саны / СБО-ны анықтауға арналған зерттеп-қараудан өткен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және одан жоғары</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зерттеп -қараудан өткендерден анықталған тоқ және тік ішек обырымен ауыратын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тоқ және тік ішек обырымен ауыратын науқастардың саны/тоқ және тік ішек обырын анықтауға скринингтік зерттеп-қараудан өткен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алды патологиясы бар науқастарды диспансерлік байқаумен қамту</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 клиникалық тобы ісік алды патологиясы бар науқастарды диспансерлік байқаумен қамту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 клиникалық тобы ісік алды патологиясымен диспансерлік есепке алынған адамдардың саны/ісік алды патологиясы бар науқастардың жалпы саны, %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Жүрек-тамыр жүйесі ауруларының асқынуы бар (миокард инфарктісі, инсульт) науқастарды емдеуге жатқызу деңгейі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зерттеп-қараулармен халықтың нысаналы топтарын қамтуы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 қауіп факторларын****** және ҚЖА анықтауға скринингтік зерттеп-қараудан өткен адамдардың саны/ҚЖА және ҚЖА қауіп факторларын анықтау үшін скринингтік тексеріп-қаралуы тиіс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Скринингтік зерттеп-қараумен анықталған асқынған ҚЖА бар науқастардың үлес салмағы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Скринингтік зерттеп-қарауды өткізгеннен кейін анықталған ҚЖА бар адамдардың саны/ҚЖА-ны анықтауға скринингтік зерттеп-қарауды өткен адамдардың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кезінде анықталған АГ-мен ******* және ЖИА-мен ауыратын науқастарды ********диспансерлік байқаумен қамту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байқаумен қамтылған АГ- мен және ЖИА-мен ауыратын науқастардың жалпы саны/ скринигтік зерттеп-қарау кезінде анықталған АГ-мен және ЖИА-мен ауыратын науқастардың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асқынған гипертониялық криз жағдайындағы емдеуге жатқызылған АГ-мен ауыратын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асқынған гипертониялық криз жағдайындағы емдеуге жатқызылған АГ-мен ауыратын науқастардың саны/АГ себебі бойынша диспансерлік есепте тұратын адамдардың жалпы саны, %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көп емес</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ҚЖА (миокард инфарктісі, ми инсульты) асқынуларымен уақтылы емдеуге жатқызылған науқастардың үлес салмағы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 (миокард инфарктісі, ми инсульты) асқынуларымен уақтылы емдеуге жатқызылған (аурудың бастапқы 6 сағатында) науқастардың саны/ҚЖА –ның (миокард инфарктісі, ми инсульты) асқынуы бойынша емдеуге жатқызылған науқастардың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дәрі-дәрмекпен қамтамасыз етілуге жататындардың ішінен ҚЖА диагнозымен диспансердегі науқастардың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дәрі-дәрмекпен қамтамасыз етілуге жататындардың ішінен амбулаториялық деңгейде тегін дәрілік препараттармен қамтамасыз етілген ҚЖА диагнозымен науқастардың саны/ амбулаториялық деңгейде тегін дәрі-дәрмекпен қамтамасыз етілуге жататын ҚЖА диагнозымен науқастардың жалпы саны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ТДҚ-ға жататын диспансердегі науқастардың кемінде 70%-ын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Негізделген шағымдар</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мен ішкі бақылау (аудит) қызметінің "осында және қазір" қағидаты бойынша оң шешімімен жеке және заңды тұлғалар өтініштерінің үлес салмағы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шешімі бар жеке және заңды тұлғалар өтініштерінің саны/жеке және заңды тұлғалардың қаралған өтініштерінің жалпы саны,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Қолданыстағы аббревиатуралар:</w:t>
      </w:r>
    </w:p>
    <w:p>
      <w:pPr>
        <w:spacing w:after="0"/>
        <w:ind w:left="0"/>
        <w:jc w:val="both"/>
      </w:pPr>
      <w:r>
        <w:rPr>
          <w:rFonts w:ascii="Times New Roman"/>
          <w:b w:val="false"/>
          <w:i w:val="false"/>
          <w:color w:val="000000"/>
          <w:sz w:val="28"/>
        </w:rPr>
        <w:t>
      * ЖІИ– жіті ішек инфекциясы;</w:t>
      </w:r>
    </w:p>
    <w:p>
      <w:pPr>
        <w:spacing w:after="0"/>
        <w:ind w:left="0"/>
        <w:jc w:val="both"/>
      </w:pPr>
      <w:r>
        <w:rPr>
          <w:rFonts w:ascii="Times New Roman"/>
          <w:b w:val="false"/>
          <w:i w:val="false"/>
          <w:color w:val="000000"/>
          <w:sz w:val="28"/>
        </w:rPr>
        <w:t>
      ** БШАЫЕ – балалық шақтағы ауруларды ықпалдастыра емдеу;</w:t>
      </w:r>
    </w:p>
    <w:p>
      <w:pPr>
        <w:spacing w:after="0"/>
        <w:ind w:left="0"/>
        <w:jc w:val="both"/>
      </w:pPr>
      <w:r>
        <w:rPr>
          <w:rFonts w:ascii="Times New Roman"/>
          <w:b w:val="false"/>
          <w:i w:val="false"/>
          <w:color w:val="000000"/>
          <w:sz w:val="28"/>
        </w:rPr>
        <w:t>
      *** ЖРИ – жіті респираторлық инфекция;</w:t>
      </w:r>
    </w:p>
    <w:p>
      <w:pPr>
        <w:spacing w:after="0"/>
        <w:ind w:left="0"/>
        <w:jc w:val="both"/>
      </w:pPr>
      <w:r>
        <w:rPr>
          <w:rFonts w:ascii="Times New Roman"/>
          <w:b w:val="false"/>
          <w:i w:val="false"/>
          <w:color w:val="000000"/>
          <w:sz w:val="28"/>
        </w:rPr>
        <w:t>
      **** ЖМО – жатыр мойны обыры;</w:t>
      </w:r>
    </w:p>
    <w:p>
      <w:pPr>
        <w:spacing w:after="0"/>
        <w:ind w:left="0"/>
        <w:jc w:val="both"/>
      </w:pPr>
      <w:r>
        <w:rPr>
          <w:rFonts w:ascii="Times New Roman"/>
          <w:b w:val="false"/>
          <w:i w:val="false"/>
          <w:color w:val="000000"/>
          <w:sz w:val="28"/>
        </w:rPr>
        <w:t>
      ***** СБО – сүт безі обыры;</w:t>
      </w:r>
    </w:p>
    <w:p>
      <w:pPr>
        <w:spacing w:after="0"/>
        <w:ind w:left="0"/>
        <w:jc w:val="both"/>
      </w:pPr>
      <w:r>
        <w:rPr>
          <w:rFonts w:ascii="Times New Roman"/>
          <w:b w:val="false"/>
          <w:i w:val="false"/>
          <w:color w:val="000000"/>
          <w:sz w:val="28"/>
        </w:rPr>
        <w:t>
      ****** ҚЖА – қанайналым жүйесінің аурулары;</w:t>
      </w:r>
    </w:p>
    <w:p>
      <w:pPr>
        <w:spacing w:after="0"/>
        <w:ind w:left="0"/>
        <w:jc w:val="both"/>
      </w:pPr>
      <w:r>
        <w:rPr>
          <w:rFonts w:ascii="Times New Roman"/>
          <w:b w:val="false"/>
          <w:i w:val="false"/>
          <w:color w:val="000000"/>
          <w:sz w:val="28"/>
        </w:rPr>
        <w:t>
      ******* АГ – артериялық гипертония;</w:t>
      </w:r>
    </w:p>
    <w:p>
      <w:pPr>
        <w:spacing w:after="0"/>
        <w:ind w:left="0"/>
        <w:jc w:val="both"/>
      </w:pPr>
      <w:r>
        <w:rPr>
          <w:rFonts w:ascii="Times New Roman"/>
          <w:b w:val="false"/>
          <w:i w:val="false"/>
          <w:color w:val="000000"/>
          <w:sz w:val="28"/>
        </w:rPr>
        <w:t>
      ******** ЖИА – жүректің ишемиялық ауруы.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