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31f4" w14:textId="5103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21 шілдедегі № 212 бұйрығы. Қазақстан Республикасының Әділет министрлігінде 2017 жылғы 28 тамызда № 15578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11447 болып тіркелген, "Әділет" ақпараттық-құқықтық жүйесінде 2015 жылғы 14 шілдеде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"Фильмге прокаттау куәлiгiн беру" мемлекеттiк көрсетiлетiн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xml:space="preserve">
      "1-тарау. Жалпы ережелер";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8" w:id="5"/>
    <w:p>
      <w:pPr>
        <w:spacing w:after="0"/>
        <w:ind w:left="0"/>
        <w:jc w:val="both"/>
      </w:pPr>
      <w:r>
        <w:rPr>
          <w:rFonts w:ascii="Times New Roman"/>
          <w:b w:val="false"/>
          <w:i w:val="false"/>
          <w:color w:val="000000"/>
          <w:sz w:val="28"/>
        </w:rPr>
        <w:t xml:space="preserve">
      "3. Мемлекеттік қызмет көрсету нәтижесі – Нормативтік құқықтық актілерді мемлекеттік тіркеу тізілімінде № 12460 болып тіркелген "Фильмге прокаттау куәлігінің нысанын бекіту туралы" Қазақстан Республикасы Мәдениет және спорт министрінің 2015 жылғы 30 қарашадағы № 366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берілген фильмге прокаттау куәлігі (бұдан әрі – прокаттау куәлігі), не осы мемлекеттік көрсетілетін қызмет стандартының 10-тармағында көзделген негіздер бойынша мемлекеттік қызметті көрсетуден бас тарту туралы дәлелді жауап.";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2" w:id="7"/>
    <w:p>
      <w:pPr>
        <w:spacing w:after="0"/>
        <w:ind w:left="0"/>
        <w:jc w:val="both"/>
      </w:pPr>
      <w:r>
        <w:rPr>
          <w:rFonts w:ascii="Times New Roman"/>
          <w:b w:val="false"/>
          <w:i w:val="false"/>
          <w:color w:val="000000"/>
          <w:sz w:val="28"/>
        </w:rPr>
        <w:t>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xml:space="preserve">
      "4-тарау. Мемлекеттік қызметті көрсету барысында ақпараттық жүйелерді пайдалану тәртібінің сипаттамасы"; </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ескерткiштерiндегі археологиялық және (немесе) ғылыми-реставрациялық жұмыстарды жүзеге асыру жөнiндегi қызметке лицензия беру" мемлекеттiк көрсетiлетiн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"4-тарау.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24"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End w:id="14"/>
    <w:bookmarkStart w:name="z25" w:id="15"/>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