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9787" w14:textId="9b49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 шілдедегі № 278 бұйрығы. Қазақстан Республикасының Әділет министрлігінде 2017 жылғы 23 тамыздағы № 15523 болып тіркелді. Күші жойылды - Қазақстан Республикасы Ауыл шаруашылығы министрінің 2020 жылғы 4 қарашадағы № 337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11766 болып тіркелген, 2015 жылғы 12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Start w:name="z5" w:id="4"/>
    <w:p>
      <w:pPr>
        <w:spacing w:after="0"/>
        <w:ind w:left="0"/>
        <w:jc w:val="both"/>
      </w:pPr>
      <w:r>
        <w:rPr>
          <w:rFonts w:ascii="Times New Roman"/>
          <w:b w:val="false"/>
          <w:i w:val="false"/>
          <w:color w:val="000000"/>
          <w:sz w:val="28"/>
        </w:rPr>
        <w:t xml:space="preserve">
      1) көрсетілетін қызметті берушіге жүгінген кезде: </w:t>
      </w:r>
    </w:p>
    <w:bookmarkEnd w:id="4"/>
    <w:p>
      <w:pPr>
        <w:spacing w:after="0"/>
        <w:ind w:left="0"/>
        <w:jc w:val="both"/>
      </w:pPr>
      <w:r>
        <w:rPr>
          <w:rFonts w:ascii="Times New Roman"/>
          <w:b w:val="false"/>
          <w:i w:val="false"/>
          <w:color w:val="000000"/>
          <w:sz w:val="28"/>
        </w:rPr>
        <w:t>
      машиналарды мемлекеттік тіркеуді жүзеге асыру үшін заңды және жеке тұлғалар (бұдан әрі – өтініш беруші) тіркеу пунктіне мыналарды ұсынады:</w:t>
      </w:r>
    </w:p>
    <w:p>
      <w:pPr>
        <w:spacing w:after="0"/>
        <w:ind w:left="0"/>
        <w:jc w:val="both"/>
      </w:pPr>
      <w:r>
        <w:rPr>
          <w:rFonts w:ascii="Times New Roman"/>
          <w:b w:val="false"/>
          <w:i w:val="false"/>
          <w:color w:val="000000"/>
          <w:sz w:val="28"/>
        </w:rPr>
        <w:t xml:space="preserve">
      осы стандартқа 1 немесе 2-қосымшаларға сәйкес нысан бойынша өтініш; </w:t>
      </w:r>
    </w:p>
    <w:p>
      <w:pPr>
        <w:spacing w:after="0"/>
        <w:ind w:left="0"/>
        <w:jc w:val="both"/>
      </w:pPr>
      <w:r>
        <w:rPr>
          <w:rFonts w:ascii="Times New Roman"/>
          <w:b w:val="false"/>
          <w:i w:val="false"/>
          <w:color w:val="000000"/>
          <w:sz w:val="28"/>
        </w:rPr>
        <w:t xml:space="preserve">
      жеке тұлғалар үшiн – өтiнiш берушiнiң жеке басын куәландыратын құжаттың көшiрмесi мен түпнұсқасы және мекенжай анықтамасы; </w:t>
      </w:r>
    </w:p>
    <w:p>
      <w:pPr>
        <w:spacing w:after="0"/>
        <w:ind w:left="0"/>
        <w:jc w:val="both"/>
      </w:pPr>
      <w:r>
        <w:rPr>
          <w:rFonts w:ascii="Times New Roman"/>
          <w:b w:val="false"/>
          <w:i w:val="false"/>
          <w:color w:val="000000"/>
          <w:sz w:val="28"/>
        </w:rPr>
        <w:t xml:space="preserve">
      заңды тұлғалар үшiн – құрылтай құжаттарының, заңды тұлғаны тіркеу (қайта тіркеу) туралы куәліктің немесе анықтаманың заңды тұлғаның мөрімен куәландырылған көшірмелері; </w:t>
      </w:r>
    </w:p>
    <w:p>
      <w:pPr>
        <w:spacing w:after="0"/>
        <w:ind w:left="0"/>
        <w:jc w:val="both"/>
      </w:pPr>
      <w:r>
        <w:rPr>
          <w:rFonts w:ascii="Times New Roman"/>
          <w:b w:val="false"/>
          <w:i w:val="false"/>
          <w:color w:val="000000"/>
          <w:sz w:val="28"/>
        </w:rPr>
        <w:t xml:space="preserve">
      көлік құралдарын мемлекеттік тіркегені, сондай-ақ оларды қайта тіркегені үшін немесе мемлекеттік тіркелгенін куәландыратын құжаттың телнұсқасын бергені үшін алымдар төленгені туралы құжат; </w:t>
      </w:r>
    </w:p>
    <w:p>
      <w:pPr>
        <w:spacing w:after="0"/>
        <w:ind w:left="0"/>
        <w:jc w:val="both"/>
      </w:pPr>
      <w:r>
        <w:rPr>
          <w:rFonts w:ascii="Times New Roman"/>
          <w:b w:val="false"/>
          <w:i w:val="false"/>
          <w:color w:val="000000"/>
          <w:sz w:val="28"/>
        </w:rPr>
        <w:t xml:space="preserve">
      мынадай жағдайларды қоспағанда, машина: </w:t>
      </w:r>
    </w:p>
    <w:p>
      <w:pPr>
        <w:spacing w:after="0"/>
        <w:ind w:left="0"/>
        <w:jc w:val="both"/>
      </w:pPr>
      <w:r>
        <w:rPr>
          <w:rFonts w:ascii="Times New Roman"/>
          <w:b w:val="false"/>
          <w:i w:val="false"/>
          <w:color w:val="000000"/>
          <w:sz w:val="28"/>
        </w:rPr>
        <w:t xml:space="preserve">
      кәдеге жаратылса (жарамсыз болса, есептен шығарылса); </w:t>
      </w:r>
    </w:p>
    <w:p>
      <w:pPr>
        <w:spacing w:after="0"/>
        <w:ind w:left="0"/>
        <w:jc w:val="both"/>
      </w:pPr>
      <w:r>
        <w:rPr>
          <w:rFonts w:ascii="Times New Roman"/>
          <w:b w:val="false"/>
          <w:i w:val="false"/>
          <w:color w:val="000000"/>
          <w:sz w:val="28"/>
        </w:rPr>
        <w:t xml:space="preserve">
      машинаны тіркеу пунктіне қарап тексеруге алып келуге кедергi болатын объективті мән-жайлар (бұзылып қалуы, габариті және (немесе) техникалық сипаттамасы мүмкіндік бермеуі) болса, инженер-инспектор жасаған машиналарды техникалық қарап тексеру актісін машинаның тұрған жерi бойынша беруге рұқсат етіледі, бұл ретте мұндай актiнiң жарамдылық мерзімі күнтізбелік отыз күнді құрайды; </w:t>
      </w:r>
    </w:p>
    <w:p>
      <w:pPr>
        <w:spacing w:after="0"/>
        <w:ind w:left="0"/>
        <w:jc w:val="both"/>
      </w:pPr>
      <w:r>
        <w:rPr>
          <w:rFonts w:ascii="Times New Roman"/>
          <w:b w:val="false"/>
          <w:i w:val="false"/>
          <w:color w:val="000000"/>
          <w:sz w:val="28"/>
        </w:rPr>
        <w:t>
      шарттың (сату-сатып алу, айырбастау, сыйға тарту, қарыз) түпнұсқасы мен көшірмесі, соттың шешiмi немесе меншік құқығын растайтын өзге де құжаттар немесе қарапайым мәміле нысаны, ал шаруа (фермерлік) қожалықтарын қоспағанда, жеке тұлғалар арасында жасалған мәміле жағдайында – қарапайым мәміле нысаны;</w:t>
      </w:r>
    </w:p>
    <w:p>
      <w:pPr>
        <w:spacing w:after="0"/>
        <w:ind w:left="0"/>
        <w:jc w:val="both"/>
      </w:pPr>
      <w:r>
        <w:rPr>
          <w:rFonts w:ascii="Times New Roman"/>
          <w:b w:val="false"/>
          <w:i w:val="false"/>
          <w:color w:val="000000"/>
          <w:sz w:val="28"/>
        </w:rPr>
        <w:t xml:space="preserve">
      машинаның тiркеу құжаты және нөмiрлiк белгiсi үшiн мемлекеттiк баждың төленгенін растайтын құжат; </w:t>
      </w:r>
    </w:p>
    <w:p>
      <w:pPr>
        <w:spacing w:after="0"/>
        <w:ind w:left="0"/>
        <w:jc w:val="both"/>
      </w:pPr>
      <w:r>
        <w:rPr>
          <w:rFonts w:ascii="Times New Roman"/>
          <w:b w:val="false"/>
          <w:i w:val="false"/>
          <w:color w:val="000000"/>
          <w:sz w:val="28"/>
        </w:rPr>
        <w:t xml:space="preserve">
      мемлекеттік кіріс органы куәландырған тауарға арналған декларациясының (кедендік декларация) көшірмесі. </w:t>
      </w:r>
    </w:p>
    <w:p>
      <w:pPr>
        <w:spacing w:after="0"/>
        <w:ind w:left="0"/>
        <w:jc w:val="both"/>
      </w:pPr>
      <w:r>
        <w:rPr>
          <w:rFonts w:ascii="Times New Roman"/>
          <w:b w:val="false"/>
          <w:i w:val="false"/>
          <w:color w:val="000000"/>
          <w:sz w:val="28"/>
        </w:rPr>
        <w:t xml:space="preserve">
      Меншiк иесiнің немесе иеленушiнің атынан тiркеу іс-қимылдарын олардың өкiлдерi жүзеге асырған жағдайларда, тiркеу пунктiне осы тармақта белгiленген құжаттардан бөлек меншiк иесiнiң немесе иеленушiнiң мүдделерiн бiлдiру өкiлеттiлiгiн куәландыратын құжаттар ұсынылады. </w:t>
      </w:r>
    </w:p>
    <w:p>
      <w:pPr>
        <w:spacing w:after="0"/>
        <w:ind w:left="0"/>
        <w:jc w:val="both"/>
      </w:pPr>
      <w:r>
        <w:rPr>
          <w:rFonts w:ascii="Times New Roman"/>
          <w:b w:val="false"/>
          <w:i w:val="false"/>
          <w:color w:val="000000"/>
          <w:sz w:val="28"/>
        </w:rPr>
        <w:t xml:space="preserve">
      Егер, мемлекеттiк тiркеуге Қазақстан Республикасында бұрын мемлекеттiк тiркеуде болған машина ұсынылса, онда тіркеу пунктіне осы тармақта белгiленген құжаттардан бөлек бұрынғы тіркеу құжаты ұсынылады, алайда аталған құжатты ұсынбау мемлекеттік тіркеуді жүргізуден бас тартуға негіз болып табылмайды. </w:t>
      </w:r>
    </w:p>
    <w:p>
      <w:pPr>
        <w:spacing w:after="0"/>
        <w:ind w:left="0"/>
        <w:jc w:val="both"/>
      </w:pPr>
      <w:r>
        <w:rPr>
          <w:rFonts w:ascii="Times New Roman"/>
          <w:b w:val="false"/>
          <w:i w:val="false"/>
          <w:color w:val="000000"/>
          <w:sz w:val="28"/>
        </w:rPr>
        <w:t xml:space="preserve">
      Меншік иелері болып табылмайтын тұлғаларға машиналарды мемлекеттік тіркеуді қоса алғанда, тіркеу іс-қимылдарын жүзеге асыру үшін тіркеу іс-қимылдарының бастамашылары жеке және заңды тұлғаларға белгіленген құжаттардан бөлек тіркеу пунктіне шарттардың (жалдау, қосалқы жалдау, лизинг, сублизинг, кепiлге беру) және машинаны қабылдау-беру актiсiнің түпнұсқасы мен көшiрмесiн немесе машинаны иелену құқығын растайтын өзге де құжатты ұсынады. Сондай-ақ тіркеу іс-қимылдарының бастамашылары тиісті тіркеу іс-қимылын жасауға меншiк иесi (жеке тұлғалар үшін) немесе заңды тұлғаның бірінші орынбасары (заңды тұлғалар үшін) қол қойған, мөрмен расталған (заңды тұлғалар үшін) машина иесінің жазбаша келісімін ұсынады. </w:t>
      </w:r>
    </w:p>
    <w:p>
      <w:pPr>
        <w:spacing w:after="0"/>
        <w:ind w:left="0"/>
        <w:jc w:val="both"/>
      </w:pPr>
      <w:r>
        <w:rPr>
          <w:rFonts w:ascii="Times New Roman"/>
          <w:b w:val="false"/>
          <w:i w:val="false"/>
          <w:color w:val="000000"/>
          <w:sz w:val="28"/>
        </w:rPr>
        <w:t xml:space="preserve">
      Егер, тiркеу iс-қимылдары жүргізілетін машина ортақ меншiкте болса, тiркеу құжаттарында барлық меншiк иелерi көрсетiледi және құжаттар машинаның барлық иелерiнің атынан берiледi. Жеке тұлғаларды ортақ меншіктен шығаруға негіз болып нотариалды куәландырылған мәміле саналады. </w:t>
      </w:r>
    </w:p>
    <w:p>
      <w:pPr>
        <w:spacing w:after="0"/>
        <w:ind w:left="0"/>
        <w:jc w:val="both"/>
      </w:pPr>
      <w:r>
        <w:rPr>
          <w:rFonts w:ascii="Times New Roman"/>
          <w:b w:val="false"/>
          <w:i w:val="false"/>
          <w:color w:val="000000"/>
          <w:sz w:val="28"/>
        </w:rPr>
        <w:t xml:space="preserve">
      Егер, меншік иелері 14 жасқа толмаған, кәмелеттік жасқа жетпеген азаматтар болса, олардың атынан тiркеу іс-қимылдарын ата-аналары (асырап алушылары) немесе туу туралы куәлікті ұсына отырып, қорғаншылық және қамқоршылық органдары жасайды. </w:t>
      </w:r>
    </w:p>
    <w:p>
      <w:pPr>
        <w:spacing w:after="0"/>
        <w:ind w:left="0"/>
        <w:jc w:val="both"/>
      </w:pPr>
      <w:r>
        <w:rPr>
          <w:rFonts w:ascii="Times New Roman"/>
          <w:b w:val="false"/>
          <w:i w:val="false"/>
          <w:color w:val="000000"/>
          <w:sz w:val="28"/>
        </w:rPr>
        <w:t xml:space="preserve">
      Меншік иелері 14-тен 18 жасқа дейінгі адамдар болған жағдайда, тіркеу іс-қимылдарын ата-аналарының (асырап алушыларының) немесе туу туралы куәлікті ұсына отырып, қорғаншылық және қамқоршылық органдарының жазбаша келісімімен осы адамдар жасайды. </w:t>
      </w:r>
    </w:p>
    <w:p>
      <w:pPr>
        <w:spacing w:after="0"/>
        <w:ind w:left="0"/>
        <w:jc w:val="both"/>
      </w:pPr>
      <w:r>
        <w:rPr>
          <w:rFonts w:ascii="Times New Roman"/>
          <w:b w:val="false"/>
          <w:i w:val="false"/>
          <w:color w:val="000000"/>
          <w:sz w:val="28"/>
        </w:rPr>
        <w:t xml:space="preserve">
      Жеке және заңды тұлғалардың аукциондардан және сауда биржаларынан сатып алған машиналарын тіркеу тіркеу пункттеріне тиісті мөрлермен және уәкілетті адамдардың қолтаңбаларымен расталған аукционның хаттамасы мен сату-сатып алу шарты ұсынылғаннан кейін жүргізіледі. </w:t>
      </w:r>
    </w:p>
    <w:p>
      <w:pPr>
        <w:spacing w:after="0"/>
        <w:ind w:left="0"/>
        <w:jc w:val="both"/>
      </w:pPr>
      <w:r>
        <w:rPr>
          <w:rFonts w:ascii="Times New Roman"/>
          <w:b w:val="false"/>
          <w:i w:val="false"/>
          <w:color w:val="000000"/>
          <w:sz w:val="28"/>
        </w:rPr>
        <w:t xml:space="preserve">
      Машиналарды тіркеген (уақытша тіркеген), қайта тіркеген, тіркеу есебінен шығарған кезде қажетті құжаттар тіркеу пунктіне ұсынылады, онда осы стандарттың талаптарына сәйкес келуі тұрғысынан тексеру жүзеге асырылады және кіріс құжаттарын есепке алу кітабына тиісті жазбалар енгізіледі. </w:t>
      </w:r>
    </w:p>
    <w:p>
      <w:pPr>
        <w:spacing w:after="0"/>
        <w:ind w:left="0"/>
        <w:jc w:val="both"/>
      </w:pPr>
      <w:r>
        <w:rPr>
          <w:rFonts w:ascii="Times New Roman"/>
          <w:b w:val="false"/>
          <w:i w:val="false"/>
          <w:color w:val="000000"/>
          <w:sz w:val="28"/>
        </w:rPr>
        <w:t xml:space="preserve">
      Құжаттарды қабылдау аяқталған соң өтініш берушіге қажетті құжаттардың қабылданғаны туралы белгісі бар өтініш көшірмесі беріледі;". </w:t>
      </w:r>
    </w:p>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Ғылыми-технологиялық және техникалық саясат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 басылымдарына ресми жариялауға жіберілуін; </w:t>
      </w:r>
    </w:p>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қамтамасыз етсін. </w:t>
      </w:r>
    </w:p>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 Д. Абаев</w:t>
      </w:r>
    </w:p>
    <w:p>
      <w:pPr>
        <w:spacing w:after="0"/>
        <w:ind w:left="0"/>
        <w:jc w:val="both"/>
      </w:pPr>
      <w:r>
        <w:rPr>
          <w:rFonts w:ascii="Times New Roman"/>
          <w:b w:val="false"/>
          <w:i w:val="false"/>
          <w:color w:val="000000"/>
          <w:sz w:val="28"/>
        </w:rPr>
        <w:t xml:space="preserve">
      2017 жылғы " "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