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2882" w14:textId="0822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туралы" Қазақстан Республикасы Заңының 13-бабымен белгіленген,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24 мамырдағы № 147 бұйрығы. Қазақстан Республикасының Әділет министрлігінде 2017 жылғы 23 маусымда № 15259 болып тіркелді</w:t>
      </w:r>
    </w:p>
    <w:p>
      <w:pPr>
        <w:spacing w:after="0"/>
        <w:ind w:left="0"/>
        <w:jc w:val="both"/>
      </w:pPr>
      <w:bookmarkStart w:name="z1" w:id="0"/>
      <w:r>
        <w:rPr>
          <w:rFonts w:ascii="Times New Roman"/>
          <w:b w:val="false"/>
          <w:i w:val="false"/>
          <w:color w:val="000000"/>
          <w:sz w:val="28"/>
        </w:rPr>
        <w:t xml:space="preserve">
      "Ойын бизнесі туралы" 2007 жылғы 12 қаңтардағы Қазақстан Республикасы Заңының 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"Ойын бизнесі туралы"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белгіленген,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Мәдениет және спорт министрінің 2015 жылғы 30 наурыздағы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10876 болып тіркелген, 2015 жылғы 15 мамырда "Әділет" ақпараттық-құқықтықтың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"Ойын бизнесін ұйымдастырушының біліктілік талаптарына сәйкестігін растайтын құжаттардың тізбесі мен нысандарын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ұйымдастырушының біліктілік талаптарына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құрылым, құрылыстың бөлігі)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меншік құқығындағы ойын жабдықтарының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(Е.Б. Қанағатов) заңнамамен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уәкілеттілік берілген адамның электрондық цифрлық қолтаңбасымен расталған қағаз және электрондық түрде осы бұйрықтың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үшін Қазақстан Республикасының нормативтік құқықтық актілерінің эталондық бақылау банкіне жолдауды;</w:t>
      </w:r>
    </w:p>
    <w:bookmarkEnd w:id="9"/>
    <w:bookmarkStart w:name="z11" w:id="10"/>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Мәдениет және спорт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147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bl>
    <w:bookmarkStart w:name="z26" w:id="14"/>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1798"/>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үшін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2014 жылғы 11 сәуірдегі Қазақстан Республикасы Заңының 61-бабы </w:t>
            </w:r>
            <w:r>
              <w:rPr>
                <w:rFonts w:ascii="Times New Roman"/>
                <w:b w:val="false"/>
                <w:i w:val="false"/>
                <w:color w:val="000000"/>
                <w:sz w:val="20"/>
              </w:rPr>
              <w:t>1-тармағына</w:t>
            </w:r>
            <w:r>
              <w:rPr>
                <w:rFonts w:ascii="Times New Roman"/>
                <w:b w:val="false"/>
                <w:i w:val="false"/>
                <w:color w:val="000000"/>
                <w:sz w:val="20"/>
              </w:rPr>
              <w:t xml:space="preserve"> сәйкес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мәліметтер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тұлғалармен шарттың (шарттардың)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"Ойын бизнесі туралы" 2007 жылғы 12 қаңтардағы Қазақстан Республикасы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2007 жылғы 12 қаңтардағы Қазақстан Республикасы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40 000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үшін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2014 жылғы 11 сәуірдегі Қазақстан Республикасы Заңының 61-бабы </w:t>
            </w:r>
            <w:r>
              <w:rPr>
                <w:rFonts w:ascii="Times New Roman"/>
                <w:b w:val="false"/>
                <w:i w:val="false"/>
                <w:color w:val="000000"/>
                <w:sz w:val="20"/>
              </w:rPr>
              <w:t>1-тармағына</w:t>
            </w:r>
            <w:r>
              <w:rPr>
                <w:rFonts w:ascii="Times New Roman"/>
                <w:b w:val="false"/>
                <w:i w:val="false"/>
                <w:color w:val="000000"/>
                <w:sz w:val="20"/>
              </w:rPr>
              <w:t xml:space="preserve"> сәйкес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мәліметтер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тұлғалармен шарттың (шарттардың)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2007 жылғы 12 қаңтардағы Қазақстан Республикасы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2007 жылғы 12 қаңтардағы Қазақстан Республикасы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10 000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үшін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1999 жылғы 1 шілдедегі Қазақстан Республикасының Азаматтық кодексінің </w:t>
            </w:r>
            <w:r>
              <w:rPr>
                <w:rFonts w:ascii="Times New Roman"/>
                <w:b w:val="false"/>
                <w:i w:val="false"/>
                <w:color w:val="000000"/>
                <w:sz w:val="20"/>
              </w:rPr>
              <w:t>581-бабының</w:t>
            </w:r>
            <w:r>
              <w:rPr>
                <w:rFonts w:ascii="Times New Roman"/>
                <w:b w:val="false"/>
                <w:i w:val="false"/>
                <w:color w:val="000000"/>
                <w:sz w:val="20"/>
              </w:rPr>
              <w:t xml:space="preserve"> 1-бөлігіне сәйкес үш жұлдыздан кем емес санаттағы қонақ үй кешеніндегі санитариялық-эпидемиологиялық және өртке қарсы нормаларға сәйкес келетін меншік құқығындағы немесе өзге де заңды негіздегі үйдің (үй, құрылыс, ғимарат бөліктерінің)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меншік құқығындағы ойын жабдығының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заңдастырылған белгілердің қазақ және орыс тілдеріндегі үлгілері мен номинациялары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тұлғалармен шарттың (шарттардың)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2007 жылғы 12 қаңтардағы Қазақстан Республикасы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2007 жылғы 12 қаңтардағы Қазақстан Республикасы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көрсеткіштің мөлшерінде салым ашуға Қазақстан Республикасының аумағындағы екінші деңгейлі банкпен жасасқан шарт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үшін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1999 жылғы 1 шілдедегі Қазақстан Республикасының Азаматтық кодексінің </w:t>
            </w:r>
            <w:r>
              <w:rPr>
                <w:rFonts w:ascii="Times New Roman"/>
                <w:b w:val="false"/>
                <w:i w:val="false"/>
                <w:color w:val="000000"/>
                <w:sz w:val="20"/>
              </w:rPr>
              <w:t>581-бабының</w:t>
            </w:r>
            <w:r>
              <w:rPr>
                <w:rFonts w:ascii="Times New Roman"/>
                <w:b w:val="false"/>
                <w:i w:val="false"/>
                <w:color w:val="000000"/>
                <w:sz w:val="20"/>
              </w:rPr>
              <w:t xml:space="preserve"> 1-бөлігіне сәйкес санитариялық-эпидемиологиялық және өртке қарсы нормаларға сәйкес келетін меншік құқығындағы немесе өзге де заңды негізінде үйдің (үй, құрылыс, ғимарат бөліктерінің) болуы туралы мәліметтер*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меншік құқығындағы ойын жабдығының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заңдастырылған белгілердің қазақ және орыс тілдеріндегі үлгілері мен номинациялары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тұлғалармен шарттың (шарттардың) болуы туралы мәліметтер**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2007 жылғы 12 қаңтардағы Қазақстан Республикасы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2007 жылғы 12 қаңтардағы Қазақстан Республикасы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 мөлшерінде салым ашуға Қазақстан Республикасының аумағындағы екінші деңгейдегі банкпен жасасқан шарт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өтініш берушілер мәліметті "Жылжымайтын мүлік тіркелімі" мемлекеттік дерекқоры ақпараттық жүйесінен алады (жылжымайтын мүлікке тіркелген құқықтар (ауыртпалықтар) және оның техникалық сипаттамалары туралы анықтамалар түрінде);</w:t>
      </w:r>
    </w:p>
    <w:p>
      <w:pPr>
        <w:spacing w:after="0"/>
        <w:ind w:left="0"/>
        <w:jc w:val="both"/>
      </w:pPr>
      <w:r>
        <w:rPr>
          <w:rFonts w:ascii="Times New Roman"/>
          <w:b w:val="false"/>
          <w:i w:val="false"/>
          <w:color w:val="000000"/>
          <w:sz w:val="28"/>
        </w:rPr>
        <w:t>
      ** өтініш берушілер мәліметтерді "Е-лицензиялау" ақпараттық жүйесінен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147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5"/>
    <w:p>
      <w:pPr>
        <w:spacing w:after="0"/>
        <w:ind w:left="0"/>
        <w:jc w:val="left"/>
      </w:pPr>
      <w:r>
        <w:rPr>
          <w:rFonts w:ascii="Times New Roman"/>
          <w:b/>
          <w:i w:val="false"/>
          <w:color w:val="000000"/>
        </w:rPr>
        <w:t xml:space="preserve"> Ойын бизнесі саласындағы қызмет түрлерін жүзеге асыру үшін Қазақстан </w:t>
      </w:r>
      <w:r>
        <w:br/>
      </w:r>
      <w:r>
        <w:rPr>
          <w:rFonts w:ascii="Times New Roman"/>
          <w:b/>
          <w:i w:val="false"/>
          <w:color w:val="000000"/>
        </w:rPr>
        <w:t xml:space="preserve">Республикасының заңнамасында белгіленген санитариялық-эпидемиологиялық және </w:t>
      </w:r>
      <w:r>
        <w:br/>
      </w:r>
      <w:r>
        <w:rPr>
          <w:rFonts w:ascii="Times New Roman"/>
          <w:b/>
          <w:i w:val="false"/>
          <w:color w:val="000000"/>
        </w:rPr>
        <w:t xml:space="preserve">өртке қарсы нормаларға сәйкес келетін меншік құқығындағы немесе өзге де заңды </w:t>
      </w:r>
      <w:r>
        <w:br/>
      </w:r>
      <w:r>
        <w:rPr>
          <w:rFonts w:ascii="Times New Roman"/>
          <w:b/>
          <w:i w:val="false"/>
          <w:color w:val="000000"/>
        </w:rPr>
        <w:t>негіздегі ғимараттың (ғимарат, құрылым, құрылыстың бөлігі) болуы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347"/>
        <w:gridCol w:w="1054"/>
        <w:gridCol w:w="3105"/>
        <w:gridCol w:w="5740"/>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147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6"/>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461"/>
        <w:gridCol w:w="973"/>
        <w:gridCol w:w="1016"/>
        <w:gridCol w:w="1955"/>
        <w:gridCol w:w="461"/>
        <w:gridCol w:w="461"/>
        <w:gridCol w:w="589"/>
        <w:gridCol w:w="1356"/>
        <w:gridCol w:w="1102"/>
        <w:gridCol w:w="716"/>
        <w:gridCol w:w="1100"/>
        <w:gridCol w:w="118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мен зауыт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орган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w:t>
            </w:r>
            <w:r>
              <w:br/>
            </w:r>
            <w:r>
              <w:rPr>
                <w:rFonts w:ascii="Times New Roman"/>
                <w:b w:val="false"/>
                <w:i w:val="false"/>
                <w:color w:val="000000"/>
                <w:sz w:val="20"/>
              </w:rPr>
              <w:t>
тестілеу күні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ұтыс коэффиценті (ойын автоматтыры үшін)</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