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2882" w14:textId="0822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туралы" Қазақстан Республикасы Заңының 13-бабымен белгіленген,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24 мамырдағы № 147 бұйрығы. Қазақстан Республикасының Әділет министрлігінде 2017 жылғы 23 маусымда № 15259 болып тіркелді</w:t>
      </w:r>
    </w:p>
    <w:p>
      <w:pPr>
        <w:spacing w:after="0"/>
        <w:ind w:left="0"/>
        <w:jc w:val="both"/>
      </w:pPr>
      <w:bookmarkStart w:name="z1" w:id="0"/>
      <w:r>
        <w:rPr>
          <w:rFonts w:ascii="Times New Roman"/>
          <w:b w:val="false"/>
          <w:i w:val="false"/>
          <w:color w:val="000000"/>
          <w:sz w:val="28"/>
        </w:rPr>
        <w:t xml:space="preserve">
      "Ойын бизнесі туралы" 2007 жылғы 12 қаңтардағы Қазақстан Республикасы Заңының 8-бабы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"Ойын бизнесі туралы" Қазақстан Республикасы Заңының </w:t>
      </w:r>
      <w:r>
        <w:rPr>
          <w:rFonts w:ascii="Times New Roman"/>
          <w:b w:val="false"/>
          <w:i w:val="false"/>
          <w:color w:val="000000"/>
          <w:sz w:val="28"/>
        </w:rPr>
        <w:t>13-бабымен</w:t>
      </w:r>
      <w:r>
        <w:rPr>
          <w:rFonts w:ascii="Times New Roman"/>
          <w:b w:val="false"/>
          <w:i w:val="false"/>
          <w:color w:val="000000"/>
          <w:sz w:val="28"/>
        </w:rPr>
        <w:t xml:space="preserve"> белгіленген, ойын бизнесін ұйымдастырушының біліктілік талаптарына сәйкестігін растайтын құжаттардың тізбесі мен нысандарын бекіту туралы" Қазақстан Республикасы Мәдениет және спорт министрінің 2015 жылғы 30 наурыздағы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10876 болып тіркелген, 2015 жылғы 15 мамырда "Әділет" ақпараттық-құқықтықтың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"Ойын бизнесін ұйымдастырушының біліктілік талаптарына сәйкестігін растайтын құжаттардың тізбесі мен нысандарын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ойын бизнесін ұйымдастырушының біліктілік талаптарына сәйкестігін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ойын бизнесі саласындағы қызмет түрлерін жүзеге асыру үшін Қазақстан Республикасының заңнамасында белгіленген санитариялық-эпидемиологиялық және өртке қарсы нормаларға сәйкес келетін меншік құқығындағы немесе өзге де заңды негіздегі ғимараттың (ғимарат, құрылым, құрылыстың бөлігі)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меншік құқығындағы ойын жабдықтарының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(Е.Б. Қанағатов) заңнамамен белгіленген тәртіппен: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осы бұйрыққа қол қоюға уәкілеттілік берілген адамның электрондық цифрлық қолтаңбасымен расталған қағаз және электрондық түрде осы бұйрықтың көшірмелерін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Қазақстан Республикасының нормативтік құқықтық актілерінің эталондық бақылау банкіне жолдауды;</w:t>
      </w:r>
    </w:p>
    <w:bookmarkEnd w:id="9"/>
    <w:bookmarkStart w:name="z11" w:id="10"/>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орналастыруды;</w:t>
      </w:r>
    </w:p>
    <w:bookmarkEnd w:id="10"/>
    <w:bookmarkStart w:name="z12" w:id="11"/>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11"/>
    <w:bookmarkStart w:name="z13"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Мәдениет және спорт вице-министріне жүктелсін.</w:t>
      </w:r>
    </w:p>
    <w:bookmarkEnd w:id="12"/>
    <w:bookmarkStart w:name="z14"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24 мамырдағы</w:t>
            </w:r>
            <w:r>
              <w:br/>
            </w:r>
            <w:r>
              <w:rPr>
                <w:rFonts w:ascii="Times New Roman"/>
                <w:b w:val="false"/>
                <w:i w:val="false"/>
                <w:color w:val="000000"/>
                <w:sz w:val="20"/>
              </w:rPr>
              <w:t>№ 147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1-қосымша</w:t>
            </w:r>
          </w:p>
        </w:tc>
      </w:tr>
    </w:tbl>
    <w:bookmarkStart w:name="z26" w:id="14"/>
    <w:p>
      <w:pPr>
        <w:spacing w:after="0"/>
        <w:ind w:left="0"/>
        <w:jc w:val="left"/>
      </w:pPr>
      <w:r>
        <w:rPr>
          <w:rFonts w:ascii="Times New Roman"/>
          <w:b/>
          <w:i w:val="false"/>
          <w:color w:val="000000"/>
        </w:rPr>
        <w:t xml:space="preserve"> Ойын бизнесін ұйымдастырушының біліктілік талаптарына сәйкестігін растайтын құжаттардың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11798"/>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сәйкестігін растайтын құжаттар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Букмекерлік кеңсе үшін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"Азаматтық қорғау туралы" 2014 жылғы 11 сәуірдегі Қазақстан Республикасы Заңының 61-бабы </w:t>
            </w:r>
            <w:r>
              <w:rPr>
                <w:rFonts w:ascii="Times New Roman"/>
                <w:b w:val="false"/>
                <w:i w:val="false"/>
                <w:color w:val="000000"/>
                <w:sz w:val="20"/>
              </w:rPr>
              <w:t>1-тармағына</w:t>
            </w:r>
            <w:r>
              <w:rPr>
                <w:rFonts w:ascii="Times New Roman"/>
                <w:b w:val="false"/>
                <w:i w:val="false"/>
                <w:color w:val="000000"/>
                <w:sz w:val="20"/>
              </w:rPr>
              <w:t xml:space="preserve"> сәйкес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туралы мәліметтер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2000 жылғы 19 қазандағы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тұлғалармен шарттың (шарттардың) болуы туралы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"Ойын бизнесі туралы" 2007 жылғы 12 қаңтардағы Қазақстан Республикасы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2007 жылғы 12 қаңтардағы Қазақстан Республикасы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40 000 айлық есептік көрсеткіш мөлшерінде банктік салым ашуға Қазақстан Республикасының аумағындағы екінші деңгейдегі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үшін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"Азаматтық қорғау туралы" 2014 жылғы 11 сәуірдегі Қазақстан Республикасы Заңының 61-бабы </w:t>
            </w:r>
            <w:r>
              <w:rPr>
                <w:rFonts w:ascii="Times New Roman"/>
                <w:b w:val="false"/>
                <w:i w:val="false"/>
                <w:color w:val="000000"/>
                <w:sz w:val="20"/>
              </w:rPr>
              <w:t>1-тармағына</w:t>
            </w:r>
            <w:r>
              <w:rPr>
                <w:rFonts w:ascii="Times New Roman"/>
                <w:b w:val="false"/>
                <w:i w:val="false"/>
                <w:color w:val="000000"/>
                <w:sz w:val="20"/>
              </w:rPr>
              <w:t xml:space="preserve"> сәйкес санитариялық-эпидемиологиялық және өртке қарсы нормаларға сәйкес келетін меншік құқығындағы үйдің (үй, құрылыс, ғимарат бөліктерінің) болуы туралы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бәс тігуді ұйымдастыруға және өткізуге арналған меншік құқығындағы жабдықтар туралы мәліметтер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2000 жылғы 19 қазандағы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тұлғалармен шарттың (шарттардың) болуы туралы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2007 жылғы 12 қаңтардағы Қазақстан Республикасы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2007 жылғы 12 қаңтардағы Қазақстан Республикасы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10 000 айлық есептік көрсеткіш мөлшерінде банктік салым ашуға Қазақстан Республикасының аумағындағы екінші деңгейдегі банкпен жасасқан шарт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үшін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нысандағы 1999 жылғы 1 шілдедегі Қазақстан Республикасының Азаматтық кодексінің </w:t>
            </w:r>
            <w:r>
              <w:rPr>
                <w:rFonts w:ascii="Times New Roman"/>
                <w:b w:val="false"/>
                <w:i w:val="false"/>
                <w:color w:val="000000"/>
                <w:sz w:val="20"/>
              </w:rPr>
              <w:t>581-бабының</w:t>
            </w:r>
            <w:r>
              <w:rPr>
                <w:rFonts w:ascii="Times New Roman"/>
                <w:b w:val="false"/>
                <w:i w:val="false"/>
                <w:color w:val="000000"/>
                <w:sz w:val="20"/>
              </w:rPr>
              <w:t xml:space="preserve"> 1-бөлігіне сәйкес үш жұлдыздан кем емес санаттағы қонақ үй кешеніндегі санитариялық-эпидемиологиялық және өртке қарсы нормаларға сәйкес келетін меншік құқығындағы немесе өзге де заңды негіздегі үйдің (үй, құрылыс, ғимарат бөліктерінің) болуы туралы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меншік құқығындағы ойын жабдығының болуы туралы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заңдастырылған белгілердің қазақ және орыс тілдеріндегі үлгілері мен номинациялары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2000 жылғы 19 қазандағы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тұлғалармен шарттың (шарттардың) болуы туралы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2007 жылғы 12 қаңтардағы Қазақстан Республикасы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2007 жылғы 12 қаңтардағы Қазақстан Республикасы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60 000 айлық есептік көрсеткіштің мөлшерінде салым ашуға Қазақстан Республикасының аумағындағы екінші деңгейлі банкпен жасасқан шарт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үшін</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2-қосымшаға</w:t>
            </w:r>
            <w:r>
              <w:rPr>
                <w:rFonts w:ascii="Times New Roman"/>
                <w:b w:val="false"/>
                <w:i w:val="false"/>
                <w:color w:val="000000"/>
                <w:sz w:val="20"/>
              </w:rPr>
              <w:t xml:space="preserve"> сәйкес 1999 жылғы 1 шілдедегі Қазақстан Республикасының Азаматтық кодексінің </w:t>
            </w:r>
            <w:r>
              <w:rPr>
                <w:rFonts w:ascii="Times New Roman"/>
                <w:b w:val="false"/>
                <w:i w:val="false"/>
                <w:color w:val="000000"/>
                <w:sz w:val="20"/>
              </w:rPr>
              <w:t>581-бабының</w:t>
            </w:r>
            <w:r>
              <w:rPr>
                <w:rFonts w:ascii="Times New Roman"/>
                <w:b w:val="false"/>
                <w:i w:val="false"/>
                <w:color w:val="000000"/>
                <w:sz w:val="20"/>
              </w:rPr>
              <w:t xml:space="preserve"> 1-бөлігіне сәйкес санитариялық-эпидемиологиялық және өртке қарсы нормаларға сәйкес келетін меншік құқығындағы немесе өзге де заңды негізінде үйдің (үй, құрылыс, ғимарат бөліктерінің) болуы туралы мәліметтер*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w:t>
            </w:r>
            <w:r>
              <w:rPr>
                <w:rFonts w:ascii="Times New Roman"/>
                <w:b w:val="false"/>
                <w:i w:val="false"/>
                <w:color w:val="000000"/>
                <w:sz w:val="20"/>
              </w:rPr>
              <w:t>3-қосымшаға</w:t>
            </w:r>
            <w:r>
              <w:rPr>
                <w:rFonts w:ascii="Times New Roman"/>
                <w:b w:val="false"/>
                <w:i w:val="false"/>
                <w:color w:val="000000"/>
                <w:sz w:val="20"/>
              </w:rPr>
              <w:t xml:space="preserve"> сәйкес нысандағы меншік құқығындағы ойын жабдығының болуы туралы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заңдастырылған белгілердің қазақ және орыс тілдеріндегі үлгілері мен номинациялары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бұйрыққа 4-қосымшаға сәйкес нысандағы "Күзет қызметі туралы" 2000 жылғы 19 қазандағы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1-тармағына сәйкес лицензия алған тұлғалармен шарттың (шарттардың) болуы туралы мәліметтер**</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туралы" 2007 жылғы 12 қаңтардағы Қазақстан Республикасы Заңының 13-бабы 1-тармағының </w:t>
            </w:r>
            <w:r>
              <w:rPr>
                <w:rFonts w:ascii="Times New Roman"/>
                <w:b w:val="false"/>
                <w:i w:val="false"/>
                <w:color w:val="000000"/>
                <w:sz w:val="20"/>
              </w:rPr>
              <w:t>4) тармақшасына</w:t>
            </w:r>
            <w:r>
              <w:rPr>
                <w:rFonts w:ascii="Times New Roman"/>
                <w:b w:val="false"/>
                <w:i w:val="false"/>
                <w:color w:val="000000"/>
                <w:sz w:val="20"/>
              </w:rPr>
              <w:t xml:space="preserve"> сәйкес ойын мекемесінің жұмысының, ставкалар қабылдаудың және өткізілетін құмар ойындарының және (немесе) бәс тігудің қазақ және орыс тілдерінде әзірленген қағидалары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талап ету бойынша салымды беру шартымен (талап етілгенге дейінгі салым) "Ойын бизнесі туралы" 2007 жылғы 12 қаңтардағы Қазақстан Республикасы Заңының 13-бабы 1-тармағының </w:t>
            </w:r>
            <w:r>
              <w:rPr>
                <w:rFonts w:ascii="Times New Roman"/>
                <w:b w:val="false"/>
                <w:i w:val="false"/>
                <w:color w:val="000000"/>
                <w:sz w:val="20"/>
              </w:rPr>
              <w:t>6) тармақшасына</w:t>
            </w:r>
            <w:r>
              <w:rPr>
                <w:rFonts w:ascii="Times New Roman"/>
                <w:b w:val="false"/>
                <w:i w:val="false"/>
                <w:color w:val="000000"/>
                <w:sz w:val="20"/>
              </w:rPr>
              <w:t xml:space="preserve"> сәйкес 60 000 айлық есептік көрсеткіш мөлшерінде салым ашуға Қазақстан Республикасының аумағындағы екінші деңгейдегі банкпен жасасқан шарт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өтініш берушілер мәліметті "Жылжымайтын мүлік тіркелімі" мемлекеттік дерекқоры ақпараттық жүйесінен алады (жылжымайтын мүлікке тіркелген құқықтар (ауыртпалықтар) және оның техникалық сипаттамалары туралы анықтамалар түрінде);</w:t>
      </w:r>
    </w:p>
    <w:p>
      <w:pPr>
        <w:spacing w:after="0"/>
        <w:ind w:left="0"/>
        <w:jc w:val="both"/>
      </w:pPr>
      <w:r>
        <w:rPr>
          <w:rFonts w:ascii="Times New Roman"/>
          <w:b w:val="false"/>
          <w:i w:val="false"/>
          <w:color w:val="000000"/>
          <w:sz w:val="28"/>
        </w:rPr>
        <w:t>
      ** өтініш берушілер мәліметтерді "Е-лицензиялау" ақпараттық жүйесінен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24 мамырдағы</w:t>
            </w:r>
            <w:r>
              <w:br/>
            </w:r>
            <w:r>
              <w:rPr>
                <w:rFonts w:ascii="Times New Roman"/>
                <w:b w:val="false"/>
                <w:i w:val="false"/>
                <w:color w:val="000000"/>
                <w:sz w:val="20"/>
              </w:rPr>
              <w:t>№ 147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5"/>
    <w:p>
      <w:pPr>
        <w:spacing w:after="0"/>
        <w:ind w:left="0"/>
        <w:jc w:val="left"/>
      </w:pPr>
      <w:r>
        <w:rPr>
          <w:rFonts w:ascii="Times New Roman"/>
          <w:b/>
          <w:i w:val="false"/>
          <w:color w:val="000000"/>
        </w:rPr>
        <w:t xml:space="preserve"> Ойын бизнесі саласындағы қызмет түрлерін жүзеге асыру үшін Қазақстан </w:t>
      </w:r>
      <w:r>
        <w:br/>
      </w:r>
      <w:r>
        <w:rPr>
          <w:rFonts w:ascii="Times New Roman"/>
          <w:b/>
          <w:i w:val="false"/>
          <w:color w:val="000000"/>
        </w:rPr>
        <w:t xml:space="preserve">Республикасының заңнамасында белгіленген санитариялық-эпидемиологиялық және </w:t>
      </w:r>
      <w:r>
        <w:br/>
      </w:r>
      <w:r>
        <w:rPr>
          <w:rFonts w:ascii="Times New Roman"/>
          <w:b/>
          <w:i w:val="false"/>
          <w:color w:val="000000"/>
        </w:rPr>
        <w:t xml:space="preserve">өртке қарсы нормаларға сәйкес келетін меншік құқығындағы немесе өзге де заңды </w:t>
      </w:r>
      <w:r>
        <w:br/>
      </w:r>
      <w:r>
        <w:rPr>
          <w:rFonts w:ascii="Times New Roman"/>
          <w:b/>
          <w:i w:val="false"/>
          <w:color w:val="000000"/>
        </w:rPr>
        <w:t>негіздегі ғимараттың (ғимарат, құрылым, құрылыстың бөлігі) болуы туралы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347"/>
        <w:gridCol w:w="1054"/>
        <w:gridCol w:w="3105"/>
        <w:gridCol w:w="5740"/>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кадастрлық нөмірі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мекенжайы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беретін құжаттың атауы, күні, нөмірі</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Кассалар туралы мәліметтер (саны, мекенжайы, орналасқан орны, электронды кассаның мекенжайы (болған жағдайда)</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24 мамырдағы</w:t>
            </w:r>
            <w:r>
              <w:br/>
            </w:r>
            <w:r>
              <w:rPr>
                <w:rFonts w:ascii="Times New Roman"/>
                <w:b w:val="false"/>
                <w:i w:val="false"/>
                <w:color w:val="000000"/>
                <w:sz w:val="20"/>
              </w:rPr>
              <w:t>№ 147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115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6"/>
    <w:p>
      <w:pPr>
        <w:spacing w:after="0"/>
        <w:ind w:left="0"/>
        <w:jc w:val="left"/>
      </w:pPr>
      <w:r>
        <w:rPr>
          <w:rFonts w:ascii="Times New Roman"/>
          <w:b/>
          <w:i w:val="false"/>
          <w:color w:val="000000"/>
        </w:rPr>
        <w:t xml:space="preserve"> Меншік құқығындағы ойын жабдықтарының болуы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61"/>
        <w:gridCol w:w="461"/>
        <w:gridCol w:w="973"/>
        <w:gridCol w:w="1016"/>
        <w:gridCol w:w="1955"/>
        <w:gridCol w:w="461"/>
        <w:gridCol w:w="461"/>
        <w:gridCol w:w="589"/>
        <w:gridCol w:w="1356"/>
        <w:gridCol w:w="1102"/>
        <w:gridCol w:w="716"/>
        <w:gridCol w:w="1100"/>
        <w:gridCol w:w="1188"/>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атауы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жабдығының түрі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жабдық шартының нөмірі мен күні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қабылдау-тапсыру актісінің нөмірі мен күні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(букмекерлік кеңсеге немесе тотализаторға немесе казиноға немесе ойын автоматтары залдарына арналған)</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Шығарушы ел мен зауыт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(жаңа, бұрын пайдаланылған)</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нөмірі және күні, берген орган</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w:t>
            </w:r>
            <w:r>
              <w:br/>
            </w:r>
            <w:r>
              <w:rPr>
                <w:rFonts w:ascii="Times New Roman"/>
                <w:b w:val="false"/>
                <w:i w:val="false"/>
                <w:color w:val="000000"/>
                <w:sz w:val="20"/>
              </w:rPr>
              <w:t>
тестілеу күні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аппараттың (фискализатор) нөмірі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ұтыс коэффиценті (ойын автоматтыры үшін)</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