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8ea6" w14:textId="8fe8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27 наурыздағы № 14қе бұйрығы. Қазақстан Республикасының Әділет министрлігінде 2017 жылғы 28 сәуірде № 15073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9887 болып тіркелген, 2015 жылғы 12 тамызда "Әділет" ақпараттық құқықтық жүйесінде және 2015 жылғы 24 қыркүйекте № 183 "Егеменді Қазақстан" газетінде ресми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110-тармақ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"110. Күдіктілер мен айыпталушыларды медициналық-санитарлық қамтамасыз ету осы тарауда көзделген ерекшеліктерді ескере отырып,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 бекіту туралы" Қазақстан Республикасы Ішкі істер министрінің 2015 жылғы 7 сәуірдегі № 314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тізілімінде № 11206 болып тіркелген) регламенттеледі".</w:t>
      </w:r>
    </w:p>
    <w:bookmarkStart w:name="z5" w:id="3"/>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Тергеу изоляторы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xml:space="preserve">
      2) осы бұйрықты Қазақстан Республикасының Әділет министрлігінде мемлекеттік тіркелгеннен кейін күнтізбелік он күн ішінде ресми жариялауға жіберуді; </w:t>
      </w:r>
    </w:p>
    <w:bookmarkEnd w:id="5"/>
    <w:bookmarkStart w:name="z8"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қауіпсіздік комитетінің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