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7564" w14:textId="d337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2008 жылғы 30 желтоқсандағы № 637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29 наурыздағы № 199 бұйрығы. Қазақстан Республикасының Әділет министрлігінде 2017 жылғы 27 сәуірде № 15065 болып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5463 тіркелген, "Заң газеті" газетінде 2009 жылғы 20 ақпанда № 27 (1450)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42-қосымшаға</w:t>
      </w:r>
      <w:r>
        <w:rPr>
          <w:rFonts w:ascii="Times New Roman"/>
          <w:b w:val="false"/>
          <w:i w:val="false"/>
          <w:color w:val="000000"/>
          <w:sz w:val="28"/>
        </w:rPr>
        <w:t xml:space="preserve"> сәйкес қосылған құн салығы бойынша тіркеу есебінен шығару туралы шешім нысанын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 мемлекеттік тіркелген күнінен бастап он күнтізбелік күн ішінде оның көшірмелерін қағаз және элекрондық түрде қазақ және орыс тілдерінде Қазақстан Республикасы нормативтік құқықтық актілерінің эталондық бақылау банкінде ресми жариялау және еңгізу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6"/>
    <w:bookmarkStart w:name="z9"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29 наурыздағы</w:t>
            </w:r>
            <w:r>
              <w:br/>
            </w:r>
            <w:r>
              <w:rPr>
                <w:rFonts w:ascii="Times New Roman"/>
                <w:b w:val="false"/>
                <w:i w:val="false"/>
                <w:color w:val="000000"/>
                <w:sz w:val="20"/>
              </w:rPr>
              <w:t>№ 199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42-қосымша</w:t>
            </w:r>
          </w:p>
        </w:tc>
      </w:tr>
    </w:tbl>
    <w:p>
      <w:pPr>
        <w:spacing w:after="0"/>
        <w:ind w:left="0"/>
        <w:jc w:val="left"/>
      </w:pPr>
      <w:r>
        <w:br/>
      </w:r>
    </w:p>
    <w:p>
      <w:pPr>
        <w:spacing w:after="0"/>
        <w:ind w:left="0"/>
        <w:jc w:val="both"/>
      </w:pPr>
      <w:r>
        <w:drawing>
          <wp:inline distT="0" distB="0" distL="0" distR="0">
            <wp:extent cx="7810500" cy="1151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1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