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00171" w14:textId="f7001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Құрамында кең таралған пайдалы қазбалар бар жер койнауы учаскелерін қоспағанда, аукционға шығаруға жататын жер қойнауы учаскесінің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14 сәуірдегі № 201 бұйрығы.Қазақстан Республикасының Әділет министрлігінде 2017 жылғы 27 сәуірде № 15048 болып тіркелді. Күші жойылды - Қазақстан Республикасы Инвестициялар және даму министрінің 2018 жылғы 2 наурыздағы № 160 бұйрығымен</w:t>
      </w:r>
    </w:p>
    <w:p>
      <w:pPr>
        <w:spacing w:after="0"/>
        <w:ind w:left="0"/>
        <w:jc w:val="both"/>
      </w:pPr>
      <w:bookmarkStart w:name="z13" w:id="0"/>
      <w:r>
        <w:rPr>
          <w:rFonts w:ascii="Times New Roman"/>
          <w:b w:val="false"/>
          <w:i w:val="false"/>
          <w:color w:val="ff0000"/>
          <w:sz w:val="28"/>
        </w:rPr>
        <w:t xml:space="preserve">
      Ескерту. Күші жойылды – ҚР Инвестициялар және даму министрінің 02.03.2018 </w:t>
      </w:r>
      <w:r>
        <w:rPr>
          <w:rFonts w:ascii="Times New Roman"/>
          <w:b w:val="false"/>
          <w:i w:val="false"/>
          <w:color w:val="ff0000"/>
          <w:sz w:val="28"/>
        </w:rPr>
        <w:t>№ 160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кейiн күнтiзбелiк он күн өткен соң қолданысқа енгізіледі) бұйрығымен.</w:t>
      </w:r>
    </w:p>
    <w:bookmarkEnd w:id="0"/>
    <w:bookmarkStart w:name="z1" w:id="1"/>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Заңының 17-бабының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i w:val="false"/>
          <w:color w:val="000000"/>
          <w:sz w:val="28"/>
        </w:rPr>
        <w:t>:</w:t>
      </w:r>
    </w:p>
    <w:bookmarkEnd w:id="1"/>
    <w:bookmarkStart w:name="z2" w:id="2"/>
    <w:p>
      <w:pPr>
        <w:spacing w:after="0"/>
        <w:ind w:left="0"/>
        <w:jc w:val="both"/>
      </w:pPr>
      <w:r>
        <w:rPr>
          <w:rFonts w:ascii="Times New Roman"/>
          <w:b w:val="false"/>
          <w:i w:val="false"/>
          <w:color w:val="000000"/>
          <w:sz w:val="28"/>
        </w:rPr>
        <w:t xml:space="preserve">
      1. Қоса берiлiп отырған құрамында кең таралған пайдалы қазбалар бар жер қойнауы учаскелерін қоспағанда, аукционға шығаруға жататын жер қойнауы учаскесінің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2. Қазақстан Республикасы Инвестициялар және даму министрлігінің Жер қойнауын пайдалану департаменті:</w:t>
      </w:r>
    </w:p>
    <w:bookmarkEnd w:id="3"/>
    <w:bookmarkStart w:name="z4"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5" w:id="5"/>
    <w:p>
      <w:pPr>
        <w:spacing w:after="0"/>
        <w:ind w:left="0"/>
        <w:jc w:val="both"/>
      </w:pPr>
      <w:r>
        <w:rPr>
          <w:rFonts w:ascii="Times New Roman"/>
          <w:b w:val="false"/>
          <w:i w:val="false"/>
          <w:color w:val="000000"/>
          <w:sz w:val="28"/>
        </w:rPr>
        <w:t>
      2) осы бұйрықтың мемлекеттік тіркеуден өткен күнінен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6" w:id="6"/>
    <w:p>
      <w:pPr>
        <w:spacing w:after="0"/>
        <w:ind w:left="0"/>
        <w:jc w:val="both"/>
      </w:pPr>
      <w:r>
        <w:rPr>
          <w:rFonts w:ascii="Times New Roman"/>
          <w:b w:val="false"/>
          <w:i w:val="false"/>
          <w:color w:val="000000"/>
          <w:sz w:val="28"/>
        </w:rPr>
        <w:t>
      3) осы бұйрықтың мемлекеттік тіркеуден өткен күнінен бастап күнтізбелік он күн ішінде оның көшірмелерін мерзімді баспа басылымдарына ресми жариялауға жіберілуін;</w:t>
      </w:r>
    </w:p>
    <w:bookmarkEnd w:id="6"/>
    <w:bookmarkStart w:name="z7" w:id="7"/>
    <w:p>
      <w:pPr>
        <w:spacing w:after="0"/>
        <w:ind w:left="0"/>
        <w:jc w:val="both"/>
      </w:pPr>
      <w:r>
        <w:rPr>
          <w:rFonts w:ascii="Times New Roman"/>
          <w:b w:val="false"/>
          <w:i w:val="false"/>
          <w:color w:val="000000"/>
          <w:sz w:val="28"/>
        </w:rPr>
        <w:t>
      4) осы бұйрықтың Қазақстан Республикасы Инвестициялар және даму министрлігінің интернет-ресурсында орналастырылуын;</w:t>
      </w:r>
    </w:p>
    <w:bookmarkEnd w:id="7"/>
    <w:bookmarkStart w:name="z8" w:id="8"/>
    <w:p>
      <w:pPr>
        <w:spacing w:after="0"/>
        <w:ind w:left="0"/>
        <w:jc w:val="both"/>
      </w:pPr>
      <w:r>
        <w:rPr>
          <w:rFonts w:ascii="Times New Roman"/>
          <w:b w:val="false"/>
          <w:i w:val="false"/>
          <w:color w:val="000000"/>
          <w:sz w:val="28"/>
        </w:rPr>
        <w:t>
      5) осы бұйрықтың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тармағының 1), 2), 3) және 4) тармақшаларында көзделген іс-шаралардың орындалуы туралы мәліметтерді ұсынуды қамтамасыз етсін.</w:t>
      </w:r>
    </w:p>
    <w:bookmarkEnd w:id="8"/>
    <w:bookmarkStart w:name="z9"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вице-миниcтріне жүктелсін.</w:t>
      </w:r>
    </w:p>
    <w:bookmarkEnd w:id="9"/>
    <w:bookmarkStart w:name="z10" w:id="10"/>
    <w:p>
      <w:pPr>
        <w:spacing w:after="0"/>
        <w:ind w:left="0"/>
        <w:jc w:val="both"/>
      </w:pPr>
      <w:r>
        <w:rPr>
          <w:rFonts w:ascii="Times New Roman"/>
          <w:b w:val="false"/>
          <w:i w:val="false"/>
          <w:color w:val="000000"/>
          <w:sz w:val="28"/>
        </w:rPr>
        <w:t>
      4. Осы бұйрық алғаш ресми жарияланған күнінен кейiн күнтiзбелiк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 Қ. Бозымбаев</w:t>
      </w:r>
    </w:p>
    <w:p>
      <w:pPr>
        <w:spacing w:after="0"/>
        <w:ind w:left="0"/>
        <w:jc w:val="both"/>
      </w:pPr>
      <w:r>
        <w:rPr>
          <w:rFonts w:ascii="Times New Roman"/>
          <w:b w:val="false"/>
          <w:i w:val="false"/>
          <w:color w:val="000000"/>
          <w:sz w:val="28"/>
        </w:rPr>
        <w:t>
      2017 жылғы 18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14 сәуірдегі</w:t>
            </w:r>
            <w:r>
              <w:br/>
            </w:r>
            <w:r>
              <w:rPr>
                <w:rFonts w:ascii="Times New Roman"/>
                <w:b w:val="false"/>
                <w:i w:val="false"/>
                <w:color w:val="000000"/>
                <w:sz w:val="20"/>
              </w:rPr>
              <w:t>№ 201 бұйрығымен бекітілген</w:t>
            </w:r>
          </w:p>
        </w:tc>
      </w:tr>
    </w:tbl>
    <w:bookmarkStart w:name="z16" w:id="11"/>
    <w:p>
      <w:pPr>
        <w:spacing w:after="0"/>
        <w:ind w:left="0"/>
        <w:jc w:val="left"/>
      </w:pPr>
      <w:r>
        <w:rPr>
          <w:rFonts w:ascii="Times New Roman"/>
          <w:b/>
          <w:i w:val="false"/>
          <w:color w:val="000000"/>
        </w:rPr>
        <w:t xml:space="preserve"> Құрамында кең таралған пайдалы қазбалар бар жер қойнауы учаскесiн қоспағанда, аукционға шығаруға жататын жер қойнауы учаскесiнің тiзбесі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1271"/>
        <w:gridCol w:w="6819"/>
        <w:gridCol w:w="532"/>
        <w:gridCol w:w="2318"/>
        <w:gridCol w:w="829"/>
      </w:tblGrid>
      <w:tr>
        <w:trPr>
          <w:trHeight w:val="30" w:hRule="atLeast"/>
        </w:trPr>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қазбаның түрі</w:t>
            </w:r>
          </w:p>
        </w:tc>
        <w:tc>
          <w:tcPr>
            <w:tcW w:w="6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операцияларының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координаталары с.е. ш.б.</w:t>
            </w:r>
          </w:p>
        </w:tc>
        <w:tc>
          <w:tcPr>
            <w:tcW w:w="0" w:type="auto"/>
            <w:vMerge/>
            <w:tcBorders>
              <w:top w:val="nil"/>
              <w:left w:val="single" w:color="cfcfcf" w:sz="5"/>
              <w:bottom w:val="single" w:color="cfcfcf" w:sz="5"/>
              <w:right w:val="single" w:color="cfcfcf" w:sz="5"/>
            </w:tcBorders>
          </w:tcP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және уранды қоспағанда, қатты пайдалы қазбалар</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М-45-97-Б (42,43,56,57,58,59)</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Шығыс-Қазақстан</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rPr>
                <w:rFonts w:ascii="Times New Roman"/>
                <w:b w:val="false"/>
                <w:i w:val="false"/>
                <w:color w:val="000000"/>
                <w:vertAlign w:val="superscript"/>
              </w:rPr>
              <w:t>о</w:t>
            </w:r>
            <w:r>
              <w:rPr>
                <w:rFonts w:ascii="Times New Roman"/>
                <w:b w:val="false"/>
                <w:i w:val="false"/>
                <w:color w:val="000000"/>
                <w:sz w:val="20"/>
              </w:rPr>
              <w:t>18</w:t>
            </w:r>
            <w:r>
              <w:rPr>
                <w:rFonts w:ascii="Times New Roman"/>
                <w:b w:val="false"/>
                <w:i w:val="false"/>
                <w:color w:val="000000"/>
                <w:vertAlign w:val="superscript"/>
              </w:rPr>
              <w:t>'</w:t>
            </w:r>
            <w:r>
              <w:rPr>
                <w:rFonts w:ascii="Times New Roman"/>
                <w:b w:val="false"/>
                <w:i w:val="false"/>
                <w:color w:val="000000"/>
                <w:sz w:val="20"/>
              </w:rPr>
              <w:t>00</w:t>
            </w:r>
          </w:p>
          <w:p>
            <w:pPr>
              <w:spacing w:after="20"/>
              <w:ind w:left="20"/>
              <w:jc w:val="both"/>
            </w:pPr>
            <w:r>
              <w:drawing>
                <wp:inline distT="0" distB="0" distL="0" distR="0">
                  <wp:extent cx="2540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165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- 84</w:t>
            </w:r>
            <w:r>
              <w:rPr>
                <w:rFonts w:ascii="Times New Roman"/>
                <w:b w:val="false"/>
                <w:i w:val="false"/>
                <w:color w:val="000000"/>
                <w:vertAlign w:val="superscript"/>
              </w:rPr>
              <w:t>о</w:t>
            </w:r>
            <w:r>
              <w:rPr>
                <w:rFonts w:ascii="Times New Roman"/>
                <w:b w:val="false"/>
                <w:i w:val="false"/>
                <w:color w:val="000000"/>
                <w:sz w:val="20"/>
              </w:rPr>
              <w:t>26</w:t>
            </w:r>
            <w:r>
              <w:rPr>
                <w:rFonts w:ascii="Times New Roman"/>
                <w:b w:val="false"/>
                <w:i w:val="false"/>
                <w:color w:val="000000"/>
                <w:vertAlign w:val="superscript"/>
              </w:rPr>
              <w:t>'</w:t>
            </w:r>
            <w:r>
              <w:rPr>
                <w:rFonts w:ascii="Times New Roman"/>
                <w:b w:val="false"/>
                <w:i w:val="false"/>
                <w:color w:val="000000"/>
                <w:sz w:val="20"/>
              </w:rPr>
              <w:t>00</w:t>
            </w:r>
          </w:p>
          <w:p>
            <w:pPr>
              <w:spacing w:after="20"/>
              <w:ind w:left="20"/>
              <w:jc w:val="both"/>
            </w:pPr>
            <w:r>
              <w:drawing>
                <wp:inline distT="0" distB="0" distL="0" distR="0">
                  <wp:extent cx="2540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165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49</w:t>
            </w:r>
            <w:r>
              <w:rPr>
                <w:rFonts w:ascii="Times New Roman"/>
                <w:b w:val="false"/>
                <w:i w:val="false"/>
                <w:color w:val="000000"/>
                <w:vertAlign w:val="superscript"/>
              </w:rPr>
              <w:t>о</w:t>
            </w:r>
            <w:r>
              <w:rPr>
                <w:rFonts w:ascii="Times New Roman"/>
                <w:b w:val="false"/>
                <w:i w:val="false"/>
                <w:color w:val="000000"/>
                <w:sz w:val="20"/>
              </w:rPr>
              <w:t>18</w:t>
            </w:r>
            <w:r>
              <w:rPr>
                <w:rFonts w:ascii="Times New Roman"/>
                <w:b w:val="false"/>
                <w:i w:val="false"/>
                <w:color w:val="000000"/>
                <w:vertAlign w:val="superscript"/>
              </w:rPr>
              <w:t>'</w:t>
            </w:r>
            <w:r>
              <w:rPr>
                <w:rFonts w:ascii="Times New Roman"/>
                <w:b w:val="false"/>
                <w:i w:val="false"/>
                <w:color w:val="000000"/>
                <w:sz w:val="20"/>
              </w:rPr>
              <w:t>00</w:t>
            </w:r>
          </w:p>
          <w:p>
            <w:pPr>
              <w:spacing w:after="20"/>
              <w:ind w:left="20"/>
              <w:jc w:val="both"/>
            </w:pPr>
            <w:r>
              <w:drawing>
                <wp:inline distT="0" distB="0" distL="0" distR="0">
                  <wp:extent cx="2540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165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- 84</w:t>
            </w:r>
            <w:r>
              <w:rPr>
                <w:rFonts w:ascii="Times New Roman"/>
                <w:b w:val="false"/>
                <w:i w:val="false"/>
                <w:color w:val="000000"/>
                <w:vertAlign w:val="superscript"/>
              </w:rPr>
              <w:t>о</w:t>
            </w:r>
            <w:r>
              <w:rPr>
                <w:rFonts w:ascii="Times New Roman"/>
                <w:b w:val="false"/>
                <w:i w:val="false"/>
                <w:color w:val="000000"/>
                <w:sz w:val="20"/>
              </w:rPr>
              <w:t>28</w:t>
            </w:r>
            <w:r>
              <w:rPr>
                <w:rFonts w:ascii="Times New Roman"/>
                <w:b w:val="false"/>
                <w:i w:val="false"/>
                <w:color w:val="000000"/>
                <w:vertAlign w:val="superscript"/>
              </w:rPr>
              <w:t>'</w:t>
            </w:r>
            <w:r>
              <w:rPr>
                <w:rFonts w:ascii="Times New Roman"/>
                <w:b w:val="false"/>
                <w:i w:val="false"/>
                <w:color w:val="000000"/>
                <w:sz w:val="20"/>
              </w:rPr>
              <w:t>00</w:t>
            </w:r>
          </w:p>
          <w:p>
            <w:pPr>
              <w:spacing w:after="20"/>
              <w:ind w:left="20"/>
              <w:jc w:val="both"/>
            </w:pPr>
            <w:r>
              <w:drawing>
                <wp:inline distT="0" distB="0" distL="0" distR="0">
                  <wp:extent cx="2540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165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49</w:t>
            </w:r>
            <w:r>
              <w:rPr>
                <w:rFonts w:ascii="Times New Roman"/>
                <w:b w:val="false"/>
                <w:i w:val="false"/>
                <w:color w:val="000000"/>
                <w:vertAlign w:val="superscript"/>
              </w:rPr>
              <w:t>о</w:t>
            </w:r>
            <w:r>
              <w:rPr>
                <w:rFonts w:ascii="Times New Roman"/>
                <w:b w:val="false"/>
                <w:i w:val="false"/>
                <w:color w:val="000000"/>
                <w:sz w:val="20"/>
              </w:rPr>
              <w:t>17</w:t>
            </w:r>
            <w:r>
              <w:rPr>
                <w:rFonts w:ascii="Times New Roman"/>
                <w:b w:val="false"/>
                <w:i w:val="false"/>
                <w:color w:val="000000"/>
                <w:vertAlign w:val="superscript"/>
              </w:rPr>
              <w:t>'</w:t>
            </w:r>
            <w:r>
              <w:rPr>
                <w:rFonts w:ascii="Times New Roman"/>
                <w:b w:val="false"/>
                <w:i w:val="false"/>
                <w:color w:val="000000"/>
                <w:sz w:val="20"/>
              </w:rPr>
              <w:t>00</w:t>
            </w:r>
          </w:p>
          <w:p>
            <w:pPr>
              <w:spacing w:after="20"/>
              <w:ind w:left="20"/>
              <w:jc w:val="both"/>
            </w:pPr>
            <w:r>
              <w:drawing>
                <wp:inline distT="0" distB="0" distL="0" distR="0">
                  <wp:extent cx="2540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165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- 84</w:t>
            </w:r>
            <w:r>
              <w:rPr>
                <w:rFonts w:ascii="Times New Roman"/>
                <w:b w:val="false"/>
                <w:i w:val="false"/>
                <w:color w:val="000000"/>
                <w:vertAlign w:val="superscript"/>
              </w:rPr>
              <w:t>о</w:t>
            </w:r>
            <w:r>
              <w:rPr>
                <w:rFonts w:ascii="Times New Roman"/>
                <w:b w:val="false"/>
                <w:i w:val="false"/>
                <w:color w:val="000000"/>
                <w:sz w:val="20"/>
              </w:rPr>
              <w:t>28</w:t>
            </w:r>
            <w:r>
              <w:rPr>
                <w:rFonts w:ascii="Times New Roman"/>
                <w:b w:val="false"/>
                <w:i w:val="false"/>
                <w:color w:val="000000"/>
                <w:vertAlign w:val="superscript"/>
              </w:rPr>
              <w:t>'</w:t>
            </w:r>
            <w:r>
              <w:rPr>
                <w:rFonts w:ascii="Times New Roman"/>
                <w:b w:val="false"/>
                <w:i w:val="false"/>
                <w:color w:val="000000"/>
                <w:sz w:val="20"/>
              </w:rPr>
              <w:t>00</w:t>
            </w:r>
          </w:p>
          <w:p>
            <w:pPr>
              <w:spacing w:after="20"/>
              <w:ind w:left="20"/>
              <w:jc w:val="both"/>
            </w:pPr>
            <w:r>
              <w:drawing>
                <wp:inline distT="0" distB="0" distL="0" distR="0">
                  <wp:extent cx="2540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4000" cy="165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49</w:t>
            </w:r>
            <w:r>
              <w:rPr>
                <w:rFonts w:ascii="Times New Roman"/>
                <w:b w:val="false"/>
                <w:i w:val="false"/>
                <w:color w:val="000000"/>
                <w:vertAlign w:val="superscript"/>
              </w:rPr>
              <w:t>о</w:t>
            </w:r>
            <w:r>
              <w:rPr>
                <w:rFonts w:ascii="Times New Roman"/>
                <w:b w:val="false"/>
                <w:i w:val="false"/>
                <w:color w:val="000000"/>
                <w:sz w:val="20"/>
              </w:rPr>
              <w:t>17</w:t>
            </w:r>
            <w:r>
              <w:rPr>
                <w:rFonts w:ascii="Times New Roman"/>
                <w:b w:val="false"/>
                <w:i w:val="false"/>
                <w:color w:val="000000"/>
                <w:vertAlign w:val="superscript"/>
              </w:rPr>
              <w:t>'</w:t>
            </w:r>
            <w:r>
              <w:rPr>
                <w:rFonts w:ascii="Times New Roman"/>
                <w:b w:val="false"/>
                <w:i w:val="false"/>
                <w:color w:val="000000"/>
                <w:sz w:val="20"/>
              </w:rPr>
              <w:t>00</w:t>
            </w:r>
          </w:p>
          <w:p>
            <w:pPr>
              <w:spacing w:after="20"/>
              <w:ind w:left="20"/>
              <w:jc w:val="both"/>
            </w:pPr>
            <w:r>
              <w:drawing>
                <wp:inline distT="0" distB="0" distL="0" distR="0">
                  <wp:extent cx="2540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165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- 84</w:t>
            </w:r>
            <w:r>
              <w:rPr>
                <w:rFonts w:ascii="Times New Roman"/>
                <w:b w:val="false"/>
                <w:i w:val="false"/>
                <w:color w:val="000000"/>
                <w:vertAlign w:val="superscript"/>
              </w:rPr>
              <w:t>о</w:t>
            </w:r>
            <w:r>
              <w:rPr>
                <w:rFonts w:ascii="Times New Roman"/>
                <w:b w:val="false"/>
                <w:i w:val="false"/>
                <w:color w:val="000000"/>
                <w:sz w:val="20"/>
              </w:rPr>
              <w:t>29</w:t>
            </w:r>
            <w:r>
              <w:rPr>
                <w:rFonts w:ascii="Times New Roman"/>
                <w:b w:val="false"/>
                <w:i w:val="false"/>
                <w:color w:val="000000"/>
                <w:vertAlign w:val="superscript"/>
              </w:rPr>
              <w:t>'</w:t>
            </w:r>
            <w:r>
              <w:rPr>
                <w:rFonts w:ascii="Times New Roman"/>
                <w:b w:val="false"/>
                <w:i w:val="false"/>
                <w:color w:val="000000"/>
                <w:sz w:val="20"/>
              </w:rPr>
              <w:t>00</w:t>
            </w:r>
          </w:p>
          <w:p>
            <w:pPr>
              <w:spacing w:after="20"/>
              <w:ind w:left="20"/>
              <w:jc w:val="both"/>
            </w:pPr>
            <w:r>
              <w:drawing>
                <wp:inline distT="0" distB="0" distL="0" distR="0">
                  <wp:extent cx="2540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165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49</w:t>
            </w:r>
            <w:r>
              <w:rPr>
                <w:rFonts w:ascii="Times New Roman"/>
                <w:b w:val="false"/>
                <w:i w:val="false"/>
                <w:color w:val="000000"/>
                <w:vertAlign w:val="superscript"/>
              </w:rPr>
              <w:t>о</w:t>
            </w:r>
            <w:r>
              <w:rPr>
                <w:rFonts w:ascii="Times New Roman"/>
                <w:b w:val="false"/>
                <w:i w:val="false"/>
                <w:color w:val="000000"/>
                <w:sz w:val="20"/>
              </w:rPr>
              <w:t>16</w:t>
            </w:r>
            <w:r>
              <w:rPr>
                <w:rFonts w:ascii="Times New Roman"/>
                <w:b w:val="false"/>
                <w:i w:val="false"/>
                <w:color w:val="000000"/>
                <w:vertAlign w:val="superscript"/>
              </w:rPr>
              <w:t>'</w:t>
            </w:r>
            <w:r>
              <w:rPr>
                <w:rFonts w:ascii="Times New Roman"/>
                <w:b w:val="false"/>
                <w:i w:val="false"/>
                <w:color w:val="000000"/>
                <w:sz w:val="20"/>
              </w:rPr>
              <w:t>00</w:t>
            </w:r>
          </w:p>
          <w:p>
            <w:pPr>
              <w:spacing w:after="20"/>
              <w:ind w:left="20"/>
              <w:jc w:val="both"/>
            </w:pPr>
            <w:r>
              <w:drawing>
                <wp:inline distT="0" distB="0" distL="0" distR="0">
                  <wp:extent cx="2540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4000" cy="165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- 84</w:t>
            </w:r>
            <w:r>
              <w:rPr>
                <w:rFonts w:ascii="Times New Roman"/>
                <w:b w:val="false"/>
                <w:i w:val="false"/>
                <w:color w:val="000000"/>
                <w:vertAlign w:val="superscript"/>
              </w:rPr>
              <w:t>о</w:t>
            </w:r>
            <w:r>
              <w:rPr>
                <w:rFonts w:ascii="Times New Roman"/>
                <w:b w:val="false"/>
                <w:i w:val="false"/>
                <w:color w:val="000000"/>
                <w:sz w:val="20"/>
              </w:rPr>
              <w:t>29</w:t>
            </w:r>
            <w:r>
              <w:rPr>
                <w:rFonts w:ascii="Times New Roman"/>
                <w:b w:val="false"/>
                <w:i w:val="false"/>
                <w:color w:val="000000"/>
                <w:vertAlign w:val="superscript"/>
              </w:rPr>
              <w:t>'</w:t>
            </w:r>
            <w:r>
              <w:rPr>
                <w:rFonts w:ascii="Times New Roman"/>
                <w:b w:val="false"/>
                <w:i w:val="false"/>
                <w:color w:val="000000"/>
                <w:sz w:val="20"/>
              </w:rPr>
              <w:t>00</w:t>
            </w:r>
          </w:p>
          <w:p>
            <w:pPr>
              <w:spacing w:after="20"/>
              <w:ind w:left="20"/>
              <w:jc w:val="both"/>
            </w:pPr>
            <w:r>
              <w:drawing>
                <wp:inline distT="0" distB="0" distL="0" distR="0">
                  <wp:extent cx="2540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4000" cy="165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49</w:t>
            </w:r>
            <w:r>
              <w:rPr>
                <w:rFonts w:ascii="Times New Roman"/>
                <w:b w:val="false"/>
                <w:i w:val="false"/>
                <w:color w:val="000000"/>
                <w:vertAlign w:val="superscript"/>
              </w:rPr>
              <w:t>о</w:t>
            </w:r>
            <w:r>
              <w:rPr>
                <w:rFonts w:ascii="Times New Roman"/>
                <w:b w:val="false"/>
                <w:i w:val="false"/>
                <w:color w:val="000000"/>
                <w:sz w:val="20"/>
              </w:rPr>
              <w:t>16</w:t>
            </w:r>
            <w:r>
              <w:rPr>
                <w:rFonts w:ascii="Times New Roman"/>
                <w:b w:val="false"/>
                <w:i w:val="false"/>
                <w:color w:val="000000"/>
                <w:vertAlign w:val="superscript"/>
              </w:rPr>
              <w:t>'</w:t>
            </w:r>
            <w:r>
              <w:rPr>
                <w:rFonts w:ascii="Times New Roman"/>
                <w:b w:val="false"/>
                <w:i w:val="false"/>
                <w:color w:val="000000"/>
                <w:sz w:val="20"/>
              </w:rPr>
              <w:t>00</w:t>
            </w:r>
          </w:p>
          <w:p>
            <w:pPr>
              <w:spacing w:after="20"/>
              <w:ind w:left="20"/>
              <w:jc w:val="both"/>
            </w:pPr>
            <w:r>
              <w:drawing>
                <wp:inline distT="0" distB="0" distL="0" distR="0">
                  <wp:extent cx="2540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4000" cy="165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- 84</w:t>
            </w:r>
            <w:r>
              <w:rPr>
                <w:rFonts w:ascii="Times New Roman"/>
                <w:b w:val="false"/>
                <w:i w:val="false"/>
                <w:color w:val="000000"/>
                <w:vertAlign w:val="superscript"/>
              </w:rPr>
              <w:t>о</w:t>
            </w:r>
            <w:r>
              <w:rPr>
                <w:rFonts w:ascii="Times New Roman"/>
                <w:b w:val="false"/>
                <w:i w:val="false"/>
                <w:color w:val="000000"/>
                <w:sz w:val="20"/>
              </w:rPr>
              <w:t>25</w:t>
            </w:r>
            <w:r>
              <w:rPr>
                <w:rFonts w:ascii="Times New Roman"/>
                <w:b w:val="false"/>
                <w:i w:val="false"/>
                <w:color w:val="000000"/>
                <w:vertAlign w:val="superscript"/>
              </w:rPr>
              <w:t>'</w:t>
            </w:r>
            <w:r>
              <w:rPr>
                <w:rFonts w:ascii="Times New Roman"/>
                <w:b w:val="false"/>
                <w:i w:val="false"/>
                <w:color w:val="000000"/>
                <w:sz w:val="20"/>
              </w:rPr>
              <w:t>00</w:t>
            </w:r>
          </w:p>
          <w:p>
            <w:pPr>
              <w:spacing w:after="20"/>
              <w:ind w:left="20"/>
              <w:jc w:val="both"/>
            </w:pPr>
            <w:r>
              <w:drawing>
                <wp:inline distT="0" distB="0" distL="0" distR="0">
                  <wp:extent cx="2540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165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49</w:t>
            </w:r>
            <w:r>
              <w:rPr>
                <w:rFonts w:ascii="Times New Roman"/>
                <w:b w:val="false"/>
                <w:i w:val="false"/>
                <w:color w:val="000000"/>
                <w:vertAlign w:val="superscript"/>
              </w:rPr>
              <w:t>о</w:t>
            </w:r>
            <w:r>
              <w:rPr>
                <w:rFonts w:ascii="Times New Roman"/>
                <w:b w:val="false"/>
                <w:i w:val="false"/>
                <w:color w:val="000000"/>
                <w:sz w:val="20"/>
              </w:rPr>
              <w:t>17</w:t>
            </w:r>
            <w:r>
              <w:rPr>
                <w:rFonts w:ascii="Times New Roman"/>
                <w:b w:val="false"/>
                <w:i w:val="false"/>
                <w:color w:val="000000"/>
                <w:vertAlign w:val="superscript"/>
              </w:rPr>
              <w:t>'</w:t>
            </w:r>
            <w:r>
              <w:rPr>
                <w:rFonts w:ascii="Times New Roman"/>
                <w:b w:val="false"/>
                <w:i w:val="false"/>
                <w:color w:val="000000"/>
                <w:sz w:val="20"/>
              </w:rPr>
              <w:t>00</w:t>
            </w:r>
          </w:p>
          <w:p>
            <w:pPr>
              <w:spacing w:after="20"/>
              <w:ind w:left="20"/>
              <w:jc w:val="both"/>
            </w:pPr>
            <w:r>
              <w:drawing>
                <wp:inline distT="0" distB="0" distL="0" distR="0">
                  <wp:extent cx="2540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4000" cy="165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- 84</w:t>
            </w:r>
            <w:r>
              <w:rPr>
                <w:rFonts w:ascii="Times New Roman"/>
                <w:b w:val="false"/>
                <w:i w:val="false"/>
                <w:color w:val="000000"/>
                <w:vertAlign w:val="superscript"/>
              </w:rPr>
              <w:t>о</w:t>
            </w:r>
            <w:r>
              <w:rPr>
                <w:rFonts w:ascii="Times New Roman"/>
                <w:b w:val="false"/>
                <w:i w:val="false"/>
                <w:color w:val="000000"/>
                <w:sz w:val="20"/>
              </w:rPr>
              <w:t>25</w:t>
            </w:r>
            <w:r>
              <w:rPr>
                <w:rFonts w:ascii="Times New Roman"/>
                <w:b w:val="false"/>
                <w:i w:val="false"/>
                <w:color w:val="000000"/>
                <w:vertAlign w:val="superscript"/>
              </w:rPr>
              <w:t>'</w:t>
            </w:r>
            <w:r>
              <w:rPr>
                <w:rFonts w:ascii="Times New Roman"/>
                <w:b w:val="false"/>
                <w:i w:val="false"/>
                <w:color w:val="000000"/>
                <w:sz w:val="20"/>
              </w:rPr>
              <w:t>00</w:t>
            </w:r>
          </w:p>
          <w:p>
            <w:pPr>
              <w:spacing w:after="20"/>
              <w:ind w:left="20"/>
              <w:jc w:val="both"/>
            </w:pPr>
            <w:r>
              <w:drawing>
                <wp:inline distT="0" distB="0" distL="0" distR="0">
                  <wp:extent cx="2540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4000" cy="165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49</w:t>
            </w:r>
            <w:r>
              <w:rPr>
                <w:rFonts w:ascii="Times New Roman"/>
                <w:b w:val="false"/>
                <w:i w:val="false"/>
                <w:color w:val="000000"/>
                <w:vertAlign w:val="superscript"/>
              </w:rPr>
              <w:t>о</w:t>
            </w:r>
            <w:r>
              <w:rPr>
                <w:rFonts w:ascii="Times New Roman"/>
                <w:b w:val="false"/>
                <w:i w:val="false"/>
                <w:color w:val="000000"/>
                <w:sz w:val="20"/>
              </w:rPr>
              <w:t>17</w:t>
            </w:r>
            <w:r>
              <w:rPr>
                <w:rFonts w:ascii="Times New Roman"/>
                <w:b w:val="false"/>
                <w:i w:val="false"/>
                <w:color w:val="000000"/>
                <w:vertAlign w:val="superscript"/>
              </w:rPr>
              <w:t>'</w:t>
            </w:r>
            <w:r>
              <w:rPr>
                <w:rFonts w:ascii="Times New Roman"/>
                <w:b w:val="false"/>
                <w:i w:val="false"/>
                <w:color w:val="000000"/>
                <w:sz w:val="20"/>
              </w:rPr>
              <w:t>00</w:t>
            </w:r>
          </w:p>
          <w:p>
            <w:pPr>
              <w:spacing w:after="20"/>
              <w:ind w:left="20"/>
              <w:jc w:val="both"/>
            </w:pPr>
            <w:r>
              <w:drawing>
                <wp:inline distT="0" distB="0" distL="0" distR="0">
                  <wp:extent cx="2540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54000" cy="165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- 84</w:t>
            </w:r>
            <w:r>
              <w:rPr>
                <w:rFonts w:ascii="Times New Roman"/>
                <w:b w:val="false"/>
                <w:i w:val="false"/>
                <w:color w:val="000000"/>
                <w:vertAlign w:val="superscript"/>
              </w:rPr>
              <w:t>о</w:t>
            </w:r>
            <w:r>
              <w:rPr>
                <w:rFonts w:ascii="Times New Roman"/>
                <w:b w:val="false"/>
                <w:i w:val="false"/>
                <w:color w:val="000000"/>
                <w:sz w:val="20"/>
              </w:rPr>
              <w:t>26</w:t>
            </w:r>
            <w:r>
              <w:rPr>
                <w:rFonts w:ascii="Times New Roman"/>
                <w:b w:val="false"/>
                <w:i w:val="false"/>
                <w:color w:val="000000"/>
                <w:vertAlign w:val="superscript"/>
              </w:rPr>
              <w:t>'</w:t>
            </w:r>
            <w:r>
              <w:rPr>
                <w:rFonts w:ascii="Times New Roman"/>
                <w:b w:val="false"/>
                <w:i w:val="false"/>
                <w:color w:val="000000"/>
                <w:sz w:val="20"/>
              </w:rPr>
              <w:t>00</w:t>
            </w:r>
          </w:p>
          <w:p>
            <w:pPr>
              <w:spacing w:after="20"/>
              <w:ind w:left="20"/>
              <w:jc w:val="both"/>
            </w:pPr>
            <w:r>
              <w:drawing>
                <wp:inline distT="0" distB="0" distL="0" distR="0">
                  <wp:extent cx="2540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540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