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de31" w14:textId="6acd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2015 жылғы 24 желтоқсандағы № 36-2 "2016-2018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15 сәуірдегі № 2-1 шешімі. Батыс Қазақстан облысының Әділет департаментінде 2016 жылғы 12 мамырда № 4395 болып тіркелді. Күші жойылды - Батыс Қазақстан облысы Тасқала аудандық мәслихатының 2017 жылғы 27 қаңтардағы № 10-6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Тасқала аудандық мәслихатының 27.01.2017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Батыс Қазақстан облысы Тасқала аудандық мәслихатының 05.08.2016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2015 жылғы 24 желтоқсандағы № 36-2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4229 тіркелген, 2016 жылғы 29 қаңтардағы "Екпін"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2 685 012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368 994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1 536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600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2 313 882 мың теңге;</w:t>
      </w:r>
      <w:r>
        <w:br/>
      </w:r>
      <w:r>
        <w:rPr>
          <w:rFonts w:ascii="Times New Roman"/>
          <w:b w:val="false"/>
          <w:i w:val="false"/>
          <w:color w:val="000000"/>
          <w:sz w:val="28"/>
        </w:rPr>
        <w:t>
      </w:t>
      </w:r>
      <w:r>
        <w:rPr>
          <w:rFonts w:ascii="Times New Roman"/>
          <w:b w:val="false"/>
          <w:i w:val="false"/>
          <w:color w:val="000000"/>
          <w:sz w:val="28"/>
        </w:rPr>
        <w:t>2) шығындар – 2 794 803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25 583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49 334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23 751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-135 374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135 374 мың теңге, соның ішінде:</w:t>
      </w:r>
      <w:r>
        <w:br/>
      </w:r>
      <w:r>
        <w:rPr>
          <w:rFonts w:ascii="Times New Roman"/>
          <w:b w:val="false"/>
          <w:i w:val="false"/>
          <w:color w:val="000000"/>
          <w:sz w:val="28"/>
        </w:rPr>
        <w:t>
      </w:t>
      </w:r>
      <w:r>
        <w:rPr>
          <w:rFonts w:ascii="Times New Roman"/>
          <w:b w:val="false"/>
          <w:i w:val="false"/>
          <w:color w:val="000000"/>
          <w:sz w:val="28"/>
        </w:rPr>
        <w:t>қарыздар түсімі – 49 334 мың теңге;</w:t>
      </w:r>
      <w:r>
        <w:br/>
      </w:r>
      <w:r>
        <w:rPr>
          <w:rFonts w:ascii="Times New Roman"/>
          <w:b w:val="false"/>
          <w:i w:val="false"/>
          <w:color w:val="000000"/>
          <w:sz w:val="28"/>
        </w:rPr>
        <w:t>
      </w:t>
      </w:r>
      <w:r>
        <w:rPr>
          <w:rFonts w:ascii="Times New Roman"/>
          <w:b w:val="false"/>
          <w:i w:val="false"/>
          <w:color w:val="000000"/>
          <w:sz w:val="28"/>
        </w:rPr>
        <w:t>қарыздарды өтеу – -25 363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пайдаланатын қалдықтары – 111 403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799 363 мың теңге,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9 055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агроөнеркәсіптік кешен бөлімшелерін ұстауға – 5 218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200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5 579 мың теңге;</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 – 478 613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 41 000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денсаулықтарын зерттеу және психологиялық-медициналық-педагогикалық консультациялық көмек көрсетуге – 15 450 мың теңге;</w:t>
      </w:r>
      <w:r>
        <w:br/>
      </w:r>
      <w:r>
        <w:rPr>
          <w:rFonts w:ascii="Times New Roman"/>
          <w:b w:val="false"/>
          <w:i w:val="false"/>
          <w:color w:val="000000"/>
          <w:sz w:val="28"/>
        </w:rPr>
        <w:t>
      </w:t>
      </w:r>
      <w:r>
        <w:rPr>
          <w:rFonts w:ascii="Times New Roman"/>
          <w:b w:val="false"/>
          <w:i w:val="false"/>
          <w:color w:val="000000"/>
          <w:sz w:val="28"/>
        </w:rPr>
        <w:t>патронаттық тәрбиеленуге берілген баланы (балаларды) ұстауға – 6 363 мың теңге;</w:t>
      </w:r>
      <w:r>
        <w:br/>
      </w:r>
      <w:r>
        <w:rPr>
          <w:rFonts w:ascii="Times New Roman"/>
          <w:b w:val="false"/>
          <w:i w:val="false"/>
          <w:color w:val="000000"/>
          <w:sz w:val="28"/>
        </w:rPr>
        <w:t>
      </w:t>
      </w:r>
      <w:r>
        <w:rPr>
          <w:rFonts w:ascii="Times New Roman"/>
          <w:b w:val="false"/>
          <w:i w:val="false"/>
          <w:color w:val="000000"/>
          <w:sz w:val="28"/>
        </w:rPr>
        <w:t>ауданның білім беру мекемелеріне бейнебақылау жүйелерін орнатуға – 4 400 мың теңге;</w:t>
      </w:r>
      <w:r>
        <w:br/>
      </w:r>
      <w:r>
        <w:rPr>
          <w:rFonts w:ascii="Times New Roman"/>
          <w:b w:val="false"/>
          <w:i w:val="false"/>
          <w:color w:val="000000"/>
          <w:sz w:val="28"/>
        </w:rPr>
        <w:t>
      </w:t>
      </w:r>
      <w:r>
        <w:rPr>
          <w:rFonts w:ascii="Times New Roman"/>
          <w:b w:val="false"/>
          <w:i w:val="false"/>
          <w:color w:val="000000"/>
          <w:sz w:val="28"/>
        </w:rPr>
        <w:t>жалпы білім беру мектептері үшін компьютерлер сатып алуға – 18 816 мың теңге;</w:t>
      </w:r>
      <w:r>
        <w:br/>
      </w:r>
      <w:r>
        <w:rPr>
          <w:rFonts w:ascii="Times New Roman"/>
          <w:b w:val="false"/>
          <w:i w:val="false"/>
          <w:color w:val="000000"/>
          <w:sz w:val="28"/>
        </w:rPr>
        <w:t>
      </w:t>
      </w:r>
      <w:r>
        <w:rPr>
          <w:rFonts w:ascii="Times New Roman"/>
          <w:b w:val="false"/>
          <w:i w:val="false"/>
          <w:color w:val="000000"/>
          <w:sz w:val="28"/>
        </w:rPr>
        <w:t>ауданның балалар мен жасөспірімдердің спорт мектебін ұстауға – 29 383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автокөлік жолдарын ағымдағы жөндеуге және күтіп ұстауға – 22 000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берілетін бюджеттік несиелерге – 49 334 мың теңге;</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42 675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және елді-мекендердің көшелерін күрделі және орташа жөндеу – 71 277 мың теңге;";</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9-1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"9-1. 2016 жылға арналған жергілікті өзін-өзі басқару органдарына трансферттерді бөлу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Тасқала аудандық мәслихатының 05.08.2016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3.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2-1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36-2 шешіміне </w:t>
            </w:r>
            <w:r>
              <w:br/>
            </w:r>
            <w:r>
              <w:rPr>
                <w:rFonts w:ascii="Times New Roman"/>
                <w:b w:val="false"/>
                <w:i w:val="false"/>
                <w:color w:val="000000"/>
                <w:sz w:val="20"/>
              </w:rPr>
              <w:t>1-қосымша</w:t>
            </w:r>
          </w:p>
        </w:tc>
      </w:tr>
    </w:tbl>
    <w:bookmarkStart w:name="z52" w:id="0"/>
    <w:p>
      <w:pPr>
        <w:spacing w:after="0"/>
        <w:ind w:left="0"/>
        <w:jc w:val="left"/>
      </w:pPr>
      <w:r>
        <w:rPr>
          <w:rFonts w:ascii="Times New Roman"/>
          <w:b/>
          <w:i w:val="false"/>
          <w:color w:val="000000"/>
        </w:rPr>
        <w:t xml:space="preserve"> 2016 жылға арналған аудандық бюджет</w:t>
      </w:r>
    </w:p>
    <w:bookmarkEnd w:id="0"/>
    <w:bookmarkStart w:name="z5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2 313 882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2 313 882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2 313 882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289 876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1 643 069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1 439 511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1 396 384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1 315 966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58 176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2-1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36-2 шешіміне </w:t>
            </w:r>
            <w:r>
              <w:br/>
            </w:r>
            <w:r>
              <w:rPr>
                <w:rFonts w:ascii="Times New Roman"/>
                <w:b w:val="false"/>
                <w:i w:val="false"/>
                <w:color w:val="000000"/>
                <w:sz w:val="20"/>
              </w:rPr>
              <w:t>5-қосымша</w:t>
            </w:r>
          </w:p>
        </w:tc>
      </w:tr>
    </w:tbl>
    <w:bookmarkStart w:name="z56" w:id="2"/>
    <w:p>
      <w:pPr>
        <w:spacing w:after="0"/>
        <w:ind w:left="0"/>
        <w:jc w:val="left"/>
      </w:pPr>
      <w:r>
        <w:rPr>
          <w:rFonts w:ascii="Times New Roman"/>
          <w:b/>
          <w:i w:val="false"/>
          <w:color w:val="000000"/>
        </w:rPr>
        <w:t xml:space="preserve"> 2016 жылға арналған жергілікті өзін-өзі басқару органдарына трансферттер бөлу</w:t>
      </w:r>
    </w:p>
    <w:bookmarkEnd w:id="2"/>
    <w:bookmarkStart w:name="z57"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2110"/>
        <w:gridCol w:w="7990"/>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Мерей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Шежін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Мереке ауылдық округі</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