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c22" w14:textId="e960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28 маусымдағы № 4-3 шешімі. Батыс Қазақстан облысының Әділет департаментінде 2016 жылғы 15 шілдеде № 4477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00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3279 тіркелген, 2013 жылғы 8 мамырда "Қаратөбе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Қаратөбе ауданында аз қамтамасыз етілген отбасыларға (азаматтарға) тұрғын үй көмегін көрсетудің мөлшерін және тәртібін айқындау Қағидасында: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(азаматтың) жиынтық табысынан бес пайыз мөлшерінде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оныншы абзацы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Меңдешов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Сүйеуғалиев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