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d368" w14:textId="3a4d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2015 жылғы 30 желтоқсандағы № 39-2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28 қыркүйектегі № 5-1 шешімі. Батыс Қазақстан облысының Әділет департаментінде 2016 жылғы 6 қазанда № 4563 болып тіркелді. Күші жойылды - Батыс Қазақстан облысы Зеленов аудандық мәслихатының 2017 жылғы 14 наурыздағы № 8-7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2016 жылғы 15 қыркүйектегі № 6-1 "Батыс Қазақстан облыстық мәслихатының 2015 жылғы 14 желтоқсандағы № 29-2 "2016-2018 жылдарға арналған облыстық бюджет туралы" шешіміне өзгерістер енгізу туралы" (Нормативтік құқықтық актілерді мемлекеттік тіркеу тізілімінде № 4556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2015 жылғы 30 желтоқсандағы № 39-2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4219 тіркелген, 2016 жылғы 15 қаңтардағы "Ауыл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кірістер – 6 733 639 мың теңге: </w:t>
      </w:r>
      <w:r>
        <w:br/>
      </w:r>
      <w:r>
        <w:rPr>
          <w:rFonts w:ascii="Times New Roman"/>
          <w:b w:val="false"/>
          <w:i w:val="false"/>
          <w:color w:val="000000"/>
          <w:sz w:val="28"/>
        </w:rPr>
        <w:t>
      </w:t>
      </w:r>
      <w:r>
        <w:rPr>
          <w:rFonts w:ascii="Times New Roman"/>
          <w:b w:val="false"/>
          <w:i w:val="false"/>
          <w:color w:val="000000"/>
          <w:sz w:val="28"/>
        </w:rPr>
        <w:t>салықтық түсімдер – 1 768 986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30 мың теңге;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71 616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4 893 007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"2) шығындар – 6 961 092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бөлінетін нысаналы трансферттердің жалпы сомасы 431 277 мың теңге көлемінде ескерілсін, оның ішінде:";</w:t>
      </w:r>
      <w:r>
        <w:br/>
      </w:r>
      <w:r>
        <w:rPr>
          <w:rFonts w:ascii="Times New Roman"/>
          <w:b w:val="false"/>
          <w:i w:val="false"/>
          <w:color w:val="000000"/>
          <w:sz w:val="28"/>
        </w:rPr>
        <w:t>
      </w:t>
      </w:r>
      <w:r>
        <w:rPr>
          <w:rFonts w:ascii="Times New Roman"/>
          <w:b w:val="false"/>
          <w:i w:val="false"/>
          <w:color w:val="000000"/>
          <w:sz w:val="28"/>
        </w:rPr>
        <w:t>мынадай мазмұндағы жиырма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–3 212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"Мичурин ауылдық округінің автомобиль жолдарын ағымдағы жөндеу және күтіп-ұстауға –134 496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Т.Залмуканов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қыркүйектегі</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 5-1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 39-2 шешіміне</w:t>
            </w:r>
            <w:r>
              <w:br/>
            </w:r>
            <w:r>
              <w:rPr>
                <w:rFonts w:ascii="Times New Roman"/>
                <w:b w:val="false"/>
                <w:i w:val="false"/>
                <w:color w:val="000000"/>
                <w:sz w:val="20"/>
              </w:rPr>
              <w:t>1 - қосымша</w:t>
            </w:r>
          </w:p>
        </w:tc>
      </w:tr>
    </w:tbl>
    <w:bookmarkStart w:name="z29"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18"/>
        <w:gridCol w:w="1018"/>
        <w:gridCol w:w="269"/>
        <w:gridCol w:w="5922"/>
        <w:gridCol w:w="26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6 733 639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1 768 986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778 094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4 893 007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4 893 007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4 893 007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6 961 092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536 452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4 293 203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3 835 233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3 674 014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3 510 315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163 699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289 583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551 402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310 400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11 156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Азаматтардың жекелеген санаттарын тұрғын үймен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101 622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372 107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