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d5dc" w14:textId="3a0d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2016 жылғы 15 сәуірдегі № 2-5 "Ақжайық ауданында жиналыстар, митингілер, шерулер, пикеттер және демонстрацияларды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18 мамырдағы № 3-12 шешімі. Батыс Қазақстан облысының Әділет департаментінде 2016 жылғы 2 маусымда № 4444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00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демонстрацияларды ұйымдастыру және өткізу тәртібі туралы"</w:t>
      </w:r>
      <w:r>
        <w:rPr>
          <w:rFonts w:ascii="Times New Roman"/>
          <w:b w:val="false"/>
          <w:i w:val="false"/>
          <w:color w:val="000000"/>
          <w:sz w:val="28"/>
        </w:rPr>
        <w:t xml:space="preserve"> Заңдарына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Ақжайық аудандық мәслихатының 2016 жылғы 15 сәуірдегі № 2-5 "Ақжайық ауданында жиналыстар, митингілер, шерулер, пикеттер және демонстрацияларды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4352 тіркелген, 2016 жылғы 3 мамырда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